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ackground w:color="FFFFFF"/>
  <w:body>
    <w:p w14:paraId="7F4AB0BE" w14:textId="77777777" w:rsidR="005465E4" w:rsidRDefault="005465E4">
      <w:pPr>
        <w:tabs>
          <w:tab w:pos="6660" w:val="left"/>
        </w:tabs>
        <w:spacing w:line="360" w:lineRule="auto"/>
        <w:ind w:firstLine="883" w:firstLineChars="200"/>
        <w:jc w:val="center"/>
        <w:rPr>
          <w:rFonts w:ascii="宋体" w:hAnsi="宋体"/>
          <w:b/>
          <w:sz w:val="44"/>
        </w:rPr>
      </w:pPr>
    </w:p>
    <w:p w14:paraId="6F6B6327" w14:textId="77777777" w:rsidR="005465E4" w:rsidRDefault="005465E4">
      <w:pPr>
        <w:spacing w:line="360" w:lineRule="auto"/>
        <w:ind w:firstLine="482" w:firstLineChars="200"/>
        <w:jc w:val="center"/>
        <w:rPr>
          <w:rFonts w:ascii="宋体" w:hAnsi="宋体"/>
          <w:b/>
          <w:sz w:val="24"/>
        </w:rPr>
      </w:pPr>
    </w:p>
    <w:p w14:paraId="05C7D25F"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5DDE3C15"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31B3ECF6"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5E967275"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4CB1CB38" w14:textId="77777777" w:rsidR="005465E4" w:rsidRDefault="00EB5FF5">
      <w:pPr>
        <w:ind w:firstLine="883" w:firstLineChars="200"/>
        <w:jc w:val="center"/>
        <w:rPr>
          <w:rFonts w:ascii="宋体" w:hAnsi="宋体"/>
          <w:b/>
          <w:sz w:val="44"/>
          <w:szCs w:val="20"/>
        </w:rPr>
      </w:pPr>
      <w:bookmarkStart w:id="0" w:name="_Toc15987771"/>
      <w:bookmarkStart w:id="1" w:name="_Toc270669851"/>
      <w:bookmarkStart w:id="2" w:name="_Toc225938616"/>
      <w:bookmarkStart w:id="3" w:name="_Toc10604959"/>
      <w:bookmarkStart w:id="4" w:name="_Toc10554386"/>
      <w:r>
        <w:rPr>
          <w:rFonts w:ascii="宋体" w:hAnsi="宋体" w:hint="eastAsia"/>
          <w:b/>
          <w:sz w:val="44"/>
          <w:szCs w:val="20"/>
        </w:rPr>
        <w:t>华夏中证动漫游戏交易型开放式指数</w:t>
      </w:r>
    </w:p>
    <w:p w14:paraId="5BCDFF94" w14:textId="77777777" w:rsidR="005465E4" w:rsidRDefault="00EB5FF5">
      <w:pPr>
        <w:ind w:firstLine="883" w:firstLineChars="200"/>
        <w:jc w:val="center"/>
        <w:rPr>
          <w:rFonts w:ascii="宋体" w:hAnsi="宋体"/>
          <w:b/>
          <w:sz w:val="44"/>
          <w:szCs w:val="20"/>
        </w:rPr>
      </w:pPr>
      <w:r>
        <w:rPr>
          <w:rFonts w:ascii="宋体" w:hAnsi="宋体"/>
          <w:b/>
          <w:sz w:val="44"/>
          <w:szCs w:val="20"/>
        </w:rPr>
        <w:t>证券投资基金发起式联接基金</w:t>
      </w:r>
    </w:p>
    <w:p w14:paraId="08D2C19C" w14:textId="77777777" w:rsidR="005465E4" w:rsidRDefault="00EB5FF5">
      <w:pPr>
        <w:ind w:firstLine="883" w:firstLineChars="200"/>
        <w:jc w:val="center"/>
        <w:rPr>
          <w:rFonts w:ascii="宋体" w:hAnsi="宋体"/>
          <w:b/>
          <w:sz w:val="44"/>
          <w:szCs w:val="20"/>
        </w:rPr>
      </w:pPr>
      <w:r>
        <w:rPr>
          <w:rFonts w:ascii="宋体" w:hAnsi="宋体"/>
          <w:b/>
          <w:sz w:val="44"/>
          <w:szCs w:val="20"/>
        </w:rPr>
        <w:t>托管协议</w:t>
      </w:r>
      <w:bookmarkEnd w:id="0"/>
      <w:bookmarkEnd w:id="1"/>
      <w:bookmarkEnd w:id="2"/>
      <w:bookmarkEnd w:id="3"/>
      <w:bookmarkEnd w:id="4"/>
    </w:p>
    <w:p w14:paraId="185A4648" w14:textId="77777777" w:rsidR="005465E4" w:rsidRDefault="005465E4">
      <w:pPr>
        <w:widowControl/>
        <w:adjustRightInd w:val="0"/>
        <w:snapToGrid w:val="0"/>
        <w:spacing w:line="360" w:lineRule="auto"/>
        <w:ind w:firstLine="964" w:firstLineChars="200"/>
        <w:rPr>
          <w:rFonts w:ascii="宋体" w:hAnsi="宋体"/>
          <w:b/>
          <w:sz w:val="48"/>
          <w:szCs w:val="20"/>
        </w:rPr>
      </w:pPr>
    </w:p>
    <w:p w14:paraId="5A46EC01"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6DD8D6E0"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32B83A86"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60A9F6ED"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7372D08A"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16B7344C"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0D5E0C52" w14:textId="77777777" w:rsidR="005465E4" w:rsidRDefault="005465E4">
      <w:pPr>
        <w:widowControl/>
        <w:adjustRightInd w:val="0"/>
        <w:snapToGrid w:val="0"/>
        <w:spacing w:line="360" w:lineRule="auto"/>
        <w:ind w:firstLine="480" w:firstLineChars="200"/>
        <w:rPr>
          <w:rFonts w:ascii="宋体" w:cs="Arial" w:hAnsi="宋体"/>
          <w:color w:val="000000"/>
          <w:kern w:val="0"/>
          <w:sz w:val="24"/>
        </w:rPr>
      </w:pPr>
    </w:p>
    <w:p w14:paraId="6C0B6EEB" w14:textId="77777777" w:rsidR="005465E4" w:rsidRDefault="005465E4">
      <w:pPr>
        <w:widowControl/>
        <w:adjustRightInd w:val="0"/>
        <w:snapToGrid w:val="0"/>
        <w:spacing w:line="360" w:lineRule="auto"/>
        <w:ind w:firstLine="480" w:firstLineChars="200"/>
        <w:jc w:val="center"/>
        <w:rPr>
          <w:rFonts w:ascii="宋体" w:cs="Arial" w:hAnsi="宋体"/>
          <w:color w:val="000000"/>
          <w:kern w:val="0"/>
          <w:sz w:val="24"/>
        </w:rPr>
      </w:pPr>
    </w:p>
    <w:p w14:paraId="0DAB1201" w14:textId="77777777" w:rsidR="005465E4" w:rsidRDefault="00EB5FF5">
      <w:pPr>
        <w:ind w:firstLine="1693" w:firstLineChars="529"/>
        <w:jc w:val="left"/>
        <w:rPr>
          <w:rFonts w:ascii="宋体" w:hAnsi="宋体"/>
          <w:sz w:val="32"/>
          <w:szCs w:val="32"/>
        </w:rPr>
      </w:pPr>
      <w:r>
        <w:rPr>
          <w:rFonts w:ascii="宋体" w:hAnsi="宋体" w:hint="eastAsia"/>
          <w:sz w:val="32"/>
          <w:szCs w:val="32"/>
        </w:rPr>
        <w:t>基金管理人：华夏基金管理有限公司</w:t>
      </w:r>
    </w:p>
    <w:p w14:paraId="76DE61BD" w14:textId="77777777" w:rsidR="005465E4" w:rsidRDefault="00EB5FF5">
      <w:pPr>
        <w:ind w:firstLine="1693" w:firstLineChars="529"/>
        <w:jc w:val="left"/>
        <w:rPr>
          <w:rFonts w:ascii="宋体" w:hAnsi="宋体"/>
          <w:sz w:val="32"/>
          <w:szCs w:val="32"/>
        </w:rPr>
      </w:pPr>
      <w:r>
        <w:rPr>
          <w:rFonts w:ascii="宋体" w:hAnsi="宋体" w:hint="eastAsia"/>
          <w:sz w:val="32"/>
          <w:szCs w:val="32"/>
        </w:rPr>
        <w:t>基金托管人：中国民生银行股份有限公司</w:t>
      </w:r>
    </w:p>
    <w:p w14:paraId="4C588466" w14:textId="77777777" w:rsidR="005465E4" w:rsidRDefault="00EB5FF5">
      <w:pPr>
        <w:spacing w:line="720" w:lineRule="auto"/>
        <w:ind w:firstLine="480" w:firstLineChars="200"/>
        <w:jc w:val="center"/>
        <w:rPr>
          <w:rFonts w:ascii="宋体" w:hAnsi="宋体"/>
          <w:b/>
          <w:szCs w:val="21"/>
        </w:rPr>
      </w:pPr>
      <w:r>
        <w:rPr>
          <w:rFonts w:ascii="宋体" w:cs="Arial" w:hAnsi="宋体"/>
          <w:color w:val="000000"/>
          <w:kern w:val="0"/>
          <w:sz w:val="24"/>
        </w:rPr>
        <w:br w:type="page"/>
      </w:r>
      <w:bookmarkStart w:id="5" w:name="_Toc295410859"/>
      <w:bookmarkStart w:id="6" w:name="_GoBack"/>
      <w:bookmarkEnd w:id="6"/>
      <w:r>
        <w:rPr>
          <w:rFonts w:ascii="宋体" w:hAnsi="宋体"/>
          <w:b/>
          <w:szCs w:val="21"/>
        </w:rPr>
        <w:lastRenderedPageBreak/>
        <w:t>目</w:t>
      </w:r>
      <w:r>
        <w:rPr>
          <w:rFonts w:ascii="宋体" w:hAnsi="宋体" w:hint="eastAsia"/>
          <w:b/>
          <w:szCs w:val="21"/>
        </w:rPr>
        <w:t xml:space="preserve">  </w:t>
      </w:r>
      <w:r>
        <w:rPr>
          <w:rFonts w:ascii="宋体" w:hAnsi="宋体"/>
          <w:b/>
          <w:szCs w:val="21"/>
        </w:rPr>
        <w:t>录</w:t>
      </w:r>
      <w:bookmarkEnd w:id="5"/>
    </w:p>
    <w:p w14:paraId="7ADC16E4" w14:textId="41DB3F72" w:rsidR="005465E4" w:rsidRDefault="00EB5FF5">
      <w:pPr>
        <w:pStyle w:val="11"/>
        <w:tabs>
          <w:tab w:leader="dot" w:pos="8296" w:val="right"/>
        </w:tabs>
        <w:spacing w:line="360" w:lineRule="auto"/>
        <w:rPr>
          <w:rFonts w:asciiTheme="minorHAnsi" w:cstheme="minorBidi" w:eastAsiaTheme="minorEastAsia" w:hAnsiTheme="minorHAnsi"/>
          <w:noProof/>
          <w:szCs w:val="22"/>
        </w:rPr>
      </w:pPr>
      <w:r>
        <w:rPr>
          <w:rFonts w:ascii="宋体" w:hAnsi="宋体"/>
          <w:b/>
          <w:sz w:val="24"/>
        </w:rPr>
        <w:fldChar w:fldCharType="begin"/>
      </w:r>
      <w:r>
        <w:rPr>
          <w:rFonts w:ascii="宋体" w:hAnsi="宋体"/>
          <w:b/>
          <w:sz w:val="24"/>
        </w:rPr>
        <w:instrText xml:space="preserve"> TOC \o "1-3" \h \z \u </w:instrText>
      </w:r>
      <w:r>
        <w:rPr>
          <w:rFonts w:ascii="宋体" w:hAnsi="宋体"/>
          <w:b/>
          <w:sz w:val="24"/>
        </w:rPr>
        <w:fldChar w:fldCharType="separate"/>
      </w:r>
      <w:hyperlink w:anchor="_Toc66879679" w:history="1">
        <w:r>
          <w:rPr>
            <w:rStyle w:val="af2"/>
            <w:rFonts w:ascii="宋体" w:hAnsi="宋体" w:hint="eastAsia"/>
            <w:noProof/>
          </w:rPr>
          <w:t>一、</w:t>
        </w:r>
        <w:r>
          <w:rPr>
            <w:rStyle w:val="af2"/>
            <w:rFonts w:hint="eastAsia"/>
            <w:noProof/>
            <w:kern w:val="0"/>
          </w:rPr>
          <w:t>基金托管协议当事人</w:t>
        </w:r>
        <w:r>
          <w:rPr>
            <w:noProof/>
          </w:rPr>
          <w:tab/>
        </w:r>
        <w:r>
          <w:rPr>
            <w:noProof/>
          </w:rPr>
          <w:fldChar w:fldCharType="begin"/>
        </w:r>
        <w:r>
          <w:rPr>
            <w:noProof/>
          </w:rPr>
          <w:instrText xml:space="preserve"> PAGEREF _Toc66879679 \h </w:instrText>
        </w:r>
        <w:r>
          <w:rPr>
            <w:noProof/>
          </w:rPr>
        </w:r>
        <w:r>
          <w:rPr>
            <w:noProof/>
          </w:rPr>
          <w:fldChar w:fldCharType="separate"/>
        </w:r>
        <w:r>
          <w:rPr>
            <w:noProof/>
          </w:rPr>
          <w:t>3</w:t>
        </w:r>
        <w:r>
          <w:rPr>
            <w:noProof/>
          </w:rPr>
          <w:fldChar w:fldCharType="end"/>
        </w:r>
      </w:hyperlink>
    </w:p>
    <w:p w14:paraId="686720DC" w14:textId="15C13318"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0" w:history="1">
        <w:r>
          <w:rPr>
            <w:rStyle w:val="af2"/>
            <w:rFonts w:ascii="宋体" w:hAnsi="宋体" w:hint="eastAsia"/>
            <w:noProof/>
          </w:rPr>
          <w:t>二、基金托管协议的依据、目的和原则</w:t>
        </w:r>
        <w:r>
          <w:rPr>
            <w:noProof/>
          </w:rPr>
          <w:tab/>
        </w:r>
        <w:r>
          <w:rPr>
            <w:noProof/>
          </w:rPr>
          <w:fldChar w:fldCharType="begin"/>
        </w:r>
        <w:r>
          <w:rPr>
            <w:noProof/>
          </w:rPr>
          <w:instrText xml:space="preserve"> PAGEREF _Toc66879680 \h </w:instrText>
        </w:r>
        <w:r>
          <w:rPr>
            <w:noProof/>
          </w:rPr>
        </w:r>
        <w:r>
          <w:rPr>
            <w:noProof/>
          </w:rPr>
          <w:fldChar w:fldCharType="separate"/>
        </w:r>
        <w:r>
          <w:rPr>
            <w:noProof/>
          </w:rPr>
          <w:t>5</w:t>
        </w:r>
        <w:r>
          <w:rPr>
            <w:noProof/>
          </w:rPr>
          <w:fldChar w:fldCharType="end"/>
        </w:r>
      </w:hyperlink>
    </w:p>
    <w:p w14:paraId="576497D3" w14:textId="00AD417B"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1" w:history="1">
        <w:r>
          <w:rPr>
            <w:rStyle w:val="af2"/>
            <w:rFonts w:ascii="宋体" w:hAnsi="宋体" w:hint="eastAsia"/>
            <w:noProof/>
          </w:rPr>
          <w:t>三、基金托管人对基金管理人的业务</w:t>
        </w:r>
        <w:r>
          <w:rPr>
            <w:rStyle w:val="af2"/>
            <w:rFonts w:ascii="宋体" w:hAnsi="宋体" w:hint="eastAsia"/>
            <w:noProof/>
          </w:rPr>
          <w:t>监督和核查</w:t>
        </w:r>
        <w:r>
          <w:rPr>
            <w:noProof/>
          </w:rPr>
          <w:tab/>
        </w:r>
        <w:r>
          <w:rPr>
            <w:noProof/>
          </w:rPr>
          <w:fldChar w:fldCharType="begin"/>
        </w:r>
        <w:r>
          <w:rPr>
            <w:noProof/>
          </w:rPr>
          <w:instrText xml:space="preserve"> PAGEREF _Toc66879681 \h </w:instrText>
        </w:r>
        <w:r>
          <w:rPr>
            <w:noProof/>
          </w:rPr>
        </w:r>
        <w:r>
          <w:rPr>
            <w:noProof/>
          </w:rPr>
          <w:fldChar w:fldCharType="separate"/>
        </w:r>
        <w:r>
          <w:rPr>
            <w:noProof/>
          </w:rPr>
          <w:t>6</w:t>
        </w:r>
        <w:r>
          <w:rPr>
            <w:noProof/>
          </w:rPr>
          <w:fldChar w:fldCharType="end"/>
        </w:r>
      </w:hyperlink>
    </w:p>
    <w:p w14:paraId="492155D0" w14:textId="4DA91E5A"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2" w:history="1">
        <w:r>
          <w:rPr>
            <w:rStyle w:val="af2"/>
            <w:rFonts w:ascii="宋体" w:hAnsi="宋体" w:hint="eastAsia"/>
            <w:noProof/>
          </w:rPr>
          <w:t>四、基金管理人对基金托管人的业务核查</w:t>
        </w:r>
        <w:r>
          <w:rPr>
            <w:noProof/>
          </w:rPr>
          <w:tab/>
        </w:r>
        <w:r>
          <w:rPr>
            <w:noProof/>
          </w:rPr>
          <w:fldChar w:fldCharType="begin"/>
        </w:r>
        <w:r>
          <w:rPr>
            <w:noProof/>
          </w:rPr>
          <w:instrText xml:space="preserve"> PAGEREF _Toc66879682 \h </w:instrText>
        </w:r>
        <w:r>
          <w:rPr>
            <w:noProof/>
          </w:rPr>
        </w:r>
        <w:r>
          <w:rPr>
            <w:noProof/>
          </w:rPr>
          <w:fldChar w:fldCharType="separate"/>
        </w:r>
        <w:r>
          <w:rPr>
            <w:noProof/>
          </w:rPr>
          <w:t>13</w:t>
        </w:r>
        <w:r>
          <w:rPr>
            <w:noProof/>
          </w:rPr>
          <w:fldChar w:fldCharType="end"/>
        </w:r>
      </w:hyperlink>
    </w:p>
    <w:p w14:paraId="1EE5F670" w14:textId="6CBA21DE"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3" w:history="1">
        <w:r>
          <w:rPr>
            <w:rStyle w:val="af2"/>
            <w:rFonts w:ascii="宋体" w:hAnsi="宋体" w:hint="eastAsia"/>
            <w:noProof/>
          </w:rPr>
          <w:t>五、基金财产的保管</w:t>
        </w:r>
        <w:r>
          <w:rPr>
            <w:noProof/>
          </w:rPr>
          <w:tab/>
        </w:r>
        <w:r>
          <w:rPr>
            <w:noProof/>
          </w:rPr>
          <w:fldChar w:fldCharType="begin"/>
        </w:r>
        <w:r>
          <w:rPr>
            <w:noProof/>
          </w:rPr>
          <w:instrText xml:space="preserve"> PAGEREF _Toc66879683 \h </w:instrText>
        </w:r>
        <w:r>
          <w:rPr>
            <w:noProof/>
          </w:rPr>
        </w:r>
        <w:r>
          <w:rPr>
            <w:noProof/>
          </w:rPr>
          <w:fldChar w:fldCharType="separate"/>
        </w:r>
        <w:r>
          <w:rPr>
            <w:noProof/>
          </w:rPr>
          <w:t>14</w:t>
        </w:r>
        <w:r>
          <w:rPr>
            <w:noProof/>
          </w:rPr>
          <w:fldChar w:fldCharType="end"/>
        </w:r>
      </w:hyperlink>
    </w:p>
    <w:p w14:paraId="772BF369" w14:textId="117FC534"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4" w:history="1">
        <w:r>
          <w:rPr>
            <w:rStyle w:val="af2"/>
            <w:rFonts w:ascii="宋体" w:hAnsi="宋体" w:hint="eastAsia"/>
            <w:noProof/>
          </w:rPr>
          <w:t>六、指令的发送、确认及执行</w:t>
        </w:r>
        <w:r>
          <w:rPr>
            <w:noProof/>
          </w:rPr>
          <w:tab/>
        </w:r>
        <w:r>
          <w:rPr>
            <w:noProof/>
          </w:rPr>
          <w:fldChar w:fldCharType="begin"/>
        </w:r>
        <w:r>
          <w:rPr>
            <w:noProof/>
          </w:rPr>
          <w:instrText xml:space="preserve"> PAGEREF _Toc66879684 \h </w:instrText>
        </w:r>
        <w:r>
          <w:rPr>
            <w:noProof/>
          </w:rPr>
        </w:r>
        <w:r>
          <w:rPr>
            <w:noProof/>
          </w:rPr>
          <w:fldChar w:fldCharType="separate"/>
        </w:r>
        <w:r>
          <w:rPr>
            <w:noProof/>
          </w:rPr>
          <w:t>18</w:t>
        </w:r>
        <w:r>
          <w:rPr>
            <w:noProof/>
          </w:rPr>
          <w:fldChar w:fldCharType="end"/>
        </w:r>
      </w:hyperlink>
    </w:p>
    <w:p w14:paraId="6C260358" w14:textId="25918E14"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5" w:history="1">
        <w:r>
          <w:rPr>
            <w:rStyle w:val="af2"/>
            <w:rFonts w:ascii="宋体" w:hAnsi="宋体" w:hint="eastAsia"/>
            <w:noProof/>
          </w:rPr>
          <w:t>七、交易及清算交收安排</w:t>
        </w:r>
        <w:r>
          <w:rPr>
            <w:noProof/>
          </w:rPr>
          <w:tab/>
        </w:r>
        <w:r>
          <w:rPr>
            <w:noProof/>
          </w:rPr>
          <w:fldChar w:fldCharType="begin"/>
        </w:r>
        <w:r>
          <w:rPr>
            <w:noProof/>
          </w:rPr>
          <w:instrText xml:space="preserve"> PAGEREF _Toc66879685 \h </w:instrText>
        </w:r>
        <w:r>
          <w:rPr>
            <w:noProof/>
          </w:rPr>
        </w:r>
        <w:r>
          <w:rPr>
            <w:noProof/>
          </w:rPr>
          <w:fldChar w:fldCharType="separate"/>
        </w:r>
        <w:r>
          <w:rPr>
            <w:noProof/>
          </w:rPr>
          <w:t>22</w:t>
        </w:r>
        <w:r>
          <w:rPr>
            <w:noProof/>
          </w:rPr>
          <w:fldChar w:fldCharType="end"/>
        </w:r>
      </w:hyperlink>
    </w:p>
    <w:p w14:paraId="095B3F15" w14:textId="2A99EBA0"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6" w:history="1">
        <w:r>
          <w:rPr>
            <w:rStyle w:val="af2"/>
            <w:rFonts w:ascii="宋体" w:hAnsi="宋体" w:hint="eastAsia"/>
            <w:noProof/>
          </w:rPr>
          <w:t>八、基金资产净值计算和会计核算</w:t>
        </w:r>
        <w:r>
          <w:rPr>
            <w:noProof/>
          </w:rPr>
          <w:tab/>
        </w:r>
        <w:r>
          <w:rPr>
            <w:noProof/>
          </w:rPr>
          <w:fldChar w:fldCharType="begin"/>
        </w:r>
        <w:r>
          <w:rPr>
            <w:noProof/>
          </w:rPr>
          <w:instrText xml:space="preserve"> PAGEREF _Toc66879686 \h </w:instrText>
        </w:r>
        <w:r>
          <w:rPr>
            <w:noProof/>
          </w:rPr>
        </w:r>
        <w:r>
          <w:rPr>
            <w:noProof/>
          </w:rPr>
          <w:fldChar w:fldCharType="separate"/>
        </w:r>
        <w:r>
          <w:rPr>
            <w:noProof/>
          </w:rPr>
          <w:t>26</w:t>
        </w:r>
        <w:r>
          <w:rPr>
            <w:noProof/>
          </w:rPr>
          <w:fldChar w:fldCharType="end"/>
        </w:r>
      </w:hyperlink>
    </w:p>
    <w:p w14:paraId="0C8FC2B4" w14:textId="2B890D27"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7" w:history="1">
        <w:r>
          <w:rPr>
            <w:rStyle w:val="af2"/>
            <w:rFonts w:ascii="宋体" w:hAnsi="宋体" w:hint="eastAsia"/>
            <w:noProof/>
          </w:rPr>
          <w:t>九、基金收益分配</w:t>
        </w:r>
        <w:r>
          <w:rPr>
            <w:noProof/>
          </w:rPr>
          <w:tab/>
        </w:r>
        <w:r>
          <w:rPr>
            <w:noProof/>
          </w:rPr>
          <w:fldChar w:fldCharType="begin"/>
        </w:r>
        <w:r>
          <w:rPr>
            <w:noProof/>
          </w:rPr>
          <w:instrText xml:space="preserve"> PAGEREF </w:instrText>
        </w:r>
        <w:r>
          <w:rPr>
            <w:noProof/>
          </w:rPr>
          <w:instrText xml:space="preserve">_Toc66879687 \h </w:instrText>
        </w:r>
        <w:r>
          <w:rPr>
            <w:noProof/>
          </w:rPr>
        </w:r>
        <w:r>
          <w:rPr>
            <w:noProof/>
          </w:rPr>
          <w:fldChar w:fldCharType="separate"/>
        </w:r>
        <w:r>
          <w:rPr>
            <w:noProof/>
          </w:rPr>
          <w:t>33</w:t>
        </w:r>
        <w:r>
          <w:rPr>
            <w:noProof/>
          </w:rPr>
          <w:fldChar w:fldCharType="end"/>
        </w:r>
      </w:hyperlink>
    </w:p>
    <w:p w14:paraId="022D1E1B" w14:textId="385C04AB"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8" w:history="1">
        <w:r>
          <w:rPr>
            <w:rStyle w:val="af2"/>
            <w:rFonts w:ascii="宋体" w:hAnsi="宋体" w:hint="eastAsia"/>
            <w:noProof/>
          </w:rPr>
          <w:t>十、基金信息披露</w:t>
        </w:r>
        <w:r>
          <w:rPr>
            <w:noProof/>
          </w:rPr>
          <w:tab/>
        </w:r>
        <w:r>
          <w:rPr>
            <w:noProof/>
          </w:rPr>
          <w:fldChar w:fldCharType="begin"/>
        </w:r>
        <w:r>
          <w:rPr>
            <w:noProof/>
          </w:rPr>
          <w:instrText xml:space="preserve"> PAGEREF _Toc66879688 \h </w:instrText>
        </w:r>
        <w:r>
          <w:rPr>
            <w:noProof/>
          </w:rPr>
        </w:r>
        <w:r>
          <w:rPr>
            <w:noProof/>
          </w:rPr>
          <w:fldChar w:fldCharType="separate"/>
        </w:r>
        <w:r>
          <w:rPr>
            <w:noProof/>
          </w:rPr>
          <w:t>34</w:t>
        </w:r>
        <w:r>
          <w:rPr>
            <w:noProof/>
          </w:rPr>
          <w:fldChar w:fldCharType="end"/>
        </w:r>
      </w:hyperlink>
    </w:p>
    <w:p w14:paraId="17E89374" w14:textId="222D53CE"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89" w:history="1">
        <w:r>
          <w:rPr>
            <w:rStyle w:val="af2"/>
            <w:rFonts w:ascii="宋体" w:hAnsi="宋体" w:hint="eastAsia"/>
            <w:noProof/>
          </w:rPr>
          <w:t>十一</w:t>
        </w:r>
        <w:r>
          <w:rPr>
            <w:rStyle w:val="af2"/>
            <w:rFonts w:ascii="宋体" w:hAnsi="宋体" w:hint="eastAsia"/>
            <w:noProof/>
          </w:rPr>
          <w:t>、基金费用</w:t>
        </w:r>
        <w:r>
          <w:rPr>
            <w:noProof/>
          </w:rPr>
          <w:tab/>
        </w:r>
        <w:r>
          <w:rPr>
            <w:noProof/>
          </w:rPr>
          <w:fldChar w:fldCharType="begin"/>
        </w:r>
        <w:r>
          <w:rPr>
            <w:noProof/>
          </w:rPr>
          <w:instrText xml:space="preserve"> PAGEREF _Toc66879689 \h </w:instrText>
        </w:r>
        <w:r>
          <w:rPr>
            <w:noProof/>
          </w:rPr>
        </w:r>
        <w:r>
          <w:rPr>
            <w:noProof/>
          </w:rPr>
          <w:fldChar w:fldCharType="separate"/>
        </w:r>
        <w:r>
          <w:rPr>
            <w:noProof/>
          </w:rPr>
          <w:t>36</w:t>
        </w:r>
        <w:r>
          <w:rPr>
            <w:noProof/>
          </w:rPr>
          <w:fldChar w:fldCharType="end"/>
        </w:r>
      </w:hyperlink>
    </w:p>
    <w:p w14:paraId="506D91F9" w14:textId="7F08FDCF"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0" w:history="1">
        <w:r>
          <w:rPr>
            <w:rStyle w:val="af2"/>
            <w:rFonts w:ascii="宋体" w:hAnsi="宋体" w:hint="eastAsia"/>
            <w:noProof/>
          </w:rPr>
          <w:t>十二、基金份额持有人名册的保管</w:t>
        </w:r>
        <w:r>
          <w:rPr>
            <w:noProof/>
          </w:rPr>
          <w:tab/>
        </w:r>
        <w:r>
          <w:rPr>
            <w:noProof/>
          </w:rPr>
          <w:fldChar w:fldCharType="begin"/>
        </w:r>
        <w:r>
          <w:rPr>
            <w:noProof/>
          </w:rPr>
          <w:instrText xml:space="preserve"> PAGEREF _Toc66879690 \h </w:instrText>
        </w:r>
        <w:r>
          <w:rPr>
            <w:noProof/>
          </w:rPr>
        </w:r>
        <w:r>
          <w:rPr>
            <w:noProof/>
          </w:rPr>
          <w:fldChar w:fldCharType="separate"/>
        </w:r>
        <w:r>
          <w:rPr>
            <w:noProof/>
          </w:rPr>
          <w:t>39</w:t>
        </w:r>
        <w:r>
          <w:rPr>
            <w:noProof/>
          </w:rPr>
          <w:fldChar w:fldCharType="end"/>
        </w:r>
      </w:hyperlink>
    </w:p>
    <w:p w14:paraId="1685DD38" w14:textId="4B93A379"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1" w:history="1">
        <w:r>
          <w:rPr>
            <w:rStyle w:val="af2"/>
            <w:rFonts w:ascii="宋体" w:hAnsi="宋体" w:hint="eastAsia"/>
            <w:noProof/>
          </w:rPr>
          <w:t>十三、基金有关文件档案的保存</w:t>
        </w:r>
        <w:r>
          <w:rPr>
            <w:noProof/>
          </w:rPr>
          <w:tab/>
        </w:r>
        <w:r>
          <w:rPr>
            <w:noProof/>
          </w:rPr>
          <w:fldChar w:fldCharType="begin"/>
        </w:r>
        <w:r>
          <w:rPr>
            <w:noProof/>
          </w:rPr>
          <w:instrText xml:space="preserve"> PAGEREF _Toc66879691 \h </w:instrText>
        </w:r>
        <w:r>
          <w:rPr>
            <w:noProof/>
          </w:rPr>
        </w:r>
        <w:r>
          <w:rPr>
            <w:noProof/>
          </w:rPr>
          <w:fldChar w:fldCharType="separate"/>
        </w:r>
        <w:r>
          <w:rPr>
            <w:noProof/>
          </w:rPr>
          <w:t>40</w:t>
        </w:r>
        <w:r>
          <w:rPr>
            <w:noProof/>
          </w:rPr>
          <w:fldChar w:fldCharType="end"/>
        </w:r>
      </w:hyperlink>
    </w:p>
    <w:p w14:paraId="28846611" w14:textId="5BA093B9"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2" w:history="1">
        <w:r>
          <w:rPr>
            <w:rStyle w:val="af2"/>
            <w:rFonts w:ascii="宋体" w:hAnsi="宋体" w:hint="eastAsia"/>
            <w:noProof/>
          </w:rPr>
          <w:t>十四、基金管理人和基金托管人的更换</w:t>
        </w:r>
        <w:r>
          <w:rPr>
            <w:noProof/>
          </w:rPr>
          <w:tab/>
        </w:r>
        <w:r>
          <w:rPr>
            <w:noProof/>
          </w:rPr>
          <w:fldChar w:fldCharType="begin"/>
        </w:r>
        <w:r>
          <w:rPr>
            <w:noProof/>
          </w:rPr>
          <w:instrText xml:space="preserve"> PAGEREF _Toc66879692 \h </w:instrText>
        </w:r>
        <w:r>
          <w:rPr>
            <w:noProof/>
          </w:rPr>
        </w:r>
        <w:r>
          <w:rPr>
            <w:noProof/>
          </w:rPr>
          <w:fldChar w:fldCharType="separate"/>
        </w:r>
        <w:r>
          <w:rPr>
            <w:noProof/>
          </w:rPr>
          <w:t>41</w:t>
        </w:r>
        <w:r>
          <w:rPr>
            <w:noProof/>
          </w:rPr>
          <w:fldChar w:fldCharType="end"/>
        </w:r>
      </w:hyperlink>
    </w:p>
    <w:p w14:paraId="7A4C60E8" w14:textId="7BFF5BCE"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3" w:history="1">
        <w:r>
          <w:rPr>
            <w:rStyle w:val="af2"/>
            <w:rFonts w:ascii="宋体" w:hAnsi="宋体" w:hint="eastAsia"/>
            <w:noProof/>
          </w:rPr>
          <w:t>十五、禁止行为</w:t>
        </w:r>
        <w:r>
          <w:rPr>
            <w:noProof/>
          </w:rPr>
          <w:tab/>
        </w:r>
        <w:r>
          <w:rPr>
            <w:noProof/>
          </w:rPr>
          <w:fldChar w:fldCharType="begin"/>
        </w:r>
        <w:r>
          <w:rPr>
            <w:noProof/>
          </w:rPr>
          <w:instrText xml:space="preserve"> PAGEREF _Toc66879693 \h </w:instrText>
        </w:r>
        <w:r>
          <w:rPr>
            <w:noProof/>
          </w:rPr>
        </w:r>
        <w:r>
          <w:rPr>
            <w:noProof/>
          </w:rPr>
          <w:fldChar w:fldCharType="separate"/>
        </w:r>
        <w:r>
          <w:rPr>
            <w:noProof/>
          </w:rPr>
          <w:t>44</w:t>
        </w:r>
        <w:r>
          <w:rPr>
            <w:noProof/>
          </w:rPr>
          <w:fldChar w:fldCharType="end"/>
        </w:r>
      </w:hyperlink>
    </w:p>
    <w:p w14:paraId="5F2E901A" w14:textId="42530D0D"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4" w:history="1">
        <w:r>
          <w:rPr>
            <w:rStyle w:val="af2"/>
            <w:rFonts w:ascii="宋体" w:hAnsi="宋体" w:hint="eastAsia"/>
            <w:noProof/>
          </w:rPr>
          <w:t>十六、托管协议的变更、终止与基金财产的清算</w:t>
        </w:r>
        <w:r>
          <w:rPr>
            <w:noProof/>
          </w:rPr>
          <w:tab/>
        </w:r>
        <w:r>
          <w:rPr>
            <w:noProof/>
          </w:rPr>
          <w:fldChar w:fldCharType="begin"/>
        </w:r>
        <w:r>
          <w:rPr>
            <w:noProof/>
          </w:rPr>
          <w:instrText xml:space="preserve"> PAGEREF _Toc66879694 \h </w:instrText>
        </w:r>
        <w:r>
          <w:rPr>
            <w:noProof/>
          </w:rPr>
        </w:r>
        <w:r>
          <w:rPr>
            <w:noProof/>
          </w:rPr>
          <w:fldChar w:fldCharType="separate"/>
        </w:r>
        <w:r>
          <w:rPr>
            <w:noProof/>
          </w:rPr>
          <w:t>45</w:t>
        </w:r>
        <w:r>
          <w:rPr>
            <w:noProof/>
          </w:rPr>
          <w:fldChar w:fldCharType="end"/>
        </w:r>
      </w:hyperlink>
    </w:p>
    <w:p w14:paraId="185B1DF9" w14:textId="1A2E2A81"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5" w:history="1">
        <w:r>
          <w:rPr>
            <w:rStyle w:val="af2"/>
            <w:rFonts w:ascii="宋体" w:hAnsi="宋体" w:hint="eastAsia"/>
            <w:noProof/>
          </w:rPr>
          <w:t>十七、违约责任</w:t>
        </w:r>
        <w:r>
          <w:rPr>
            <w:noProof/>
          </w:rPr>
          <w:tab/>
        </w:r>
        <w:r>
          <w:rPr>
            <w:noProof/>
          </w:rPr>
          <w:fldChar w:fldCharType="begin"/>
        </w:r>
        <w:r>
          <w:rPr>
            <w:noProof/>
          </w:rPr>
          <w:instrText xml:space="preserve"> PAGEREF _Toc66879695 \h </w:instrText>
        </w:r>
        <w:r>
          <w:rPr>
            <w:noProof/>
          </w:rPr>
        </w:r>
        <w:r>
          <w:rPr>
            <w:noProof/>
          </w:rPr>
          <w:fldChar w:fldCharType="separate"/>
        </w:r>
        <w:r>
          <w:rPr>
            <w:noProof/>
          </w:rPr>
          <w:t>47</w:t>
        </w:r>
        <w:r>
          <w:rPr>
            <w:noProof/>
          </w:rPr>
          <w:fldChar w:fldCharType="end"/>
        </w:r>
      </w:hyperlink>
    </w:p>
    <w:p w14:paraId="7A999BD7" w14:textId="5BEF8066"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6" w:history="1">
        <w:r>
          <w:rPr>
            <w:rStyle w:val="af2"/>
            <w:rFonts w:ascii="宋体" w:hAnsi="宋体" w:hint="eastAsia"/>
            <w:noProof/>
          </w:rPr>
          <w:t>十八、争议解决方式</w:t>
        </w:r>
        <w:r>
          <w:rPr>
            <w:noProof/>
          </w:rPr>
          <w:tab/>
        </w:r>
        <w:r>
          <w:rPr>
            <w:noProof/>
          </w:rPr>
          <w:fldChar w:fldCharType="begin"/>
        </w:r>
        <w:r>
          <w:rPr>
            <w:noProof/>
          </w:rPr>
          <w:instrText xml:space="preserve"> PAGEREF _Toc66879696 \h </w:instrText>
        </w:r>
        <w:r>
          <w:rPr>
            <w:noProof/>
          </w:rPr>
        </w:r>
        <w:r>
          <w:rPr>
            <w:noProof/>
          </w:rPr>
          <w:fldChar w:fldCharType="separate"/>
        </w:r>
        <w:r>
          <w:rPr>
            <w:noProof/>
          </w:rPr>
          <w:t>4</w:t>
        </w:r>
        <w:r>
          <w:rPr>
            <w:noProof/>
          </w:rPr>
          <w:t>8</w:t>
        </w:r>
        <w:r>
          <w:rPr>
            <w:noProof/>
          </w:rPr>
          <w:fldChar w:fldCharType="end"/>
        </w:r>
      </w:hyperlink>
    </w:p>
    <w:p w14:paraId="71FC84C2" w14:textId="5B8EF28D" w:rsidR="005465E4" w:rsidRDefault="00EB5FF5">
      <w:pPr>
        <w:pStyle w:val="11"/>
        <w:tabs>
          <w:tab w:leader="dot" w:pos="8296" w:val="right"/>
        </w:tabs>
        <w:spacing w:line="360" w:lineRule="auto"/>
        <w:rPr>
          <w:rFonts w:asciiTheme="minorHAnsi" w:cstheme="minorBidi" w:eastAsiaTheme="minorEastAsia" w:hAnsiTheme="minorHAnsi"/>
          <w:noProof/>
          <w:szCs w:val="22"/>
        </w:rPr>
      </w:pPr>
      <w:hyperlink w:anchor="_Toc66879697" w:history="1">
        <w:r>
          <w:rPr>
            <w:rStyle w:val="af2"/>
            <w:rFonts w:ascii="宋体" w:hAnsi="宋体" w:hint="eastAsia"/>
            <w:noProof/>
          </w:rPr>
          <w:t>十九、托管协议的效力</w:t>
        </w:r>
        <w:r>
          <w:rPr>
            <w:noProof/>
          </w:rPr>
          <w:tab/>
        </w:r>
        <w:r>
          <w:rPr>
            <w:noProof/>
          </w:rPr>
          <w:fldChar w:fldCharType="begin"/>
        </w:r>
        <w:r>
          <w:rPr>
            <w:noProof/>
          </w:rPr>
          <w:instrText xml:space="preserve"> PAGEREF _Toc66879697 \h </w:instrText>
        </w:r>
        <w:r>
          <w:rPr>
            <w:noProof/>
          </w:rPr>
        </w:r>
        <w:r>
          <w:rPr>
            <w:noProof/>
          </w:rPr>
          <w:fldChar w:fldCharType="separate"/>
        </w:r>
        <w:r>
          <w:rPr>
            <w:noProof/>
          </w:rPr>
          <w:t>49</w:t>
        </w:r>
        <w:r>
          <w:rPr>
            <w:noProof/>
          </w:rPr>
          <w:fldChar w:fldCharType="end"/>
        </w:r>
      </w:hyperlink>
    </w:p>
    <w:p w14:paraId="7F7DF7D7" w14:textId="77777777" w:rsidR="005465E4" w:rsidRDefault="00EB5FF5">
      <w:pPr>
        <w:spacing w:line="360" w:lineRule="auto"/>
        <w:rPr>
          <w:rFonts w:ascii="宋体" w:hAnsi="宋体"/>
          <w:sz w:val="24"/>
        </w:rPr>
      </w:pPr>
      <w:r>
        <w:rPr>
          <w:rFonts w:ascii="宋体" w:hAnsi="宋体"/>
          <w:b/>
          <w:sz w:val="24"/>
        </w:rPr>
        <w:fldChar w:fldCharType="end"/>
      </w:r>
    </w:p>
    <w:p w14:paraId="1E99EC91" w14:textId="77777777" w:rsidR="005465E4" w:rsidRDefault="00EB5FF5">
      <w:pPr>
        <w:spacing w:line="360" w:lineRule="auto"/>
        <w:ind w:firstLine="480" w:firstLineChars="200"/>
        <w:rPr>
          <w:rFonts w:ascii="宋体" w:cs="Arial" w:hAnsi="宋体"/>
          <w:kern w:val="0"/>
          <w:szCs w:val="21"/>
        </w:rPr>
      </w:pPr>
      <w:r>
        <w:rPr>
          <w:rFonts w:ascii="宋体" w:hAnsi="宋体"/>
          <w:sz w:val="24"/>
        </w:rPr>
        <w:br w:type="page"/>
      </w:r>
      <w:r>
        <w:rPr>
          <w:rFonts w:ascii="宋体" w:cs="Arial" w:hAnsi="宋体" w:hint="eastAsia"/>
          <w:kern w:val="0"/>
          <w:szCs w:val="21"/>
        </w:rPr>
        <w:lastRenderedPageBreak/>
        <w:t>鉴于</w:t>
      </w:r>
      <w:r>
        <w:rPr>
          <w:rFonts w:ascii="宋体" w:cs="Arial" w:hAnsi="宋体" w:hint="eastAsia"/>
          <w:szCs w:val="21"/>
        </w:rPr>
        <w:t>华夏</w:t>
      </w:r>
      <w:r>
        <w:rPr>
          <w:rFonts w:ascii="宋体" w:cs="Arial" w:hAnsi="宋体" w:hint="eastAsia"/>
          <w:kern w:val="0"/>
          <w:szCs w:val="21"/>
        </w:rPr>
        <w:t>基金管理有限公司系一家依照中国法律合法成立并有效存续的有限责任公司，按照相关法律法规的规定具备担任基金管理人的资格和能力，拟募集发行</w:t>
      </w:r>
      <w:r>
        <w:rPr>
          <w:rFonts w:hint="eastAsia"/>
          <w:bCs/>
          <w:szCs w:val="21"/>
        </w:rPr>
        <w:t>华夏中证动漫游戏交易型开放式指数证券投资基金发起式联接基金</w:t>
      </w:r>
      <w:r>
        <w:rPr>
          <w:rFonts w:ascii="宋体" w:cs="Arial" w:hAnsi="宋体" w:hint="eastAsia"/>
          <w:kern w:val="0"/>
          <w:szCs w:val="21"/>
        </w:rPr>
        <w:t>；</w:t>
      </w:r>
    </w:p>
    <w:p w14:paraId="12153B17" w14:textId="77777777" w:rsidR="005465E4" w:rsidRDefault="00EB5FF5">
      <w:pPr>
        <w:widowControl/>
        <w:adjustRightInd w:val="0"/>
        <w:spacing w:line="360" w:lineRule="auto"/>
        <w:ind w:firstLine="420" w:firstLineChars="200"/>
        <w:rPr>
          <w:rFonts w:ascii="宋体" w:cs="Arial" w:hAnsi="宋体"/>
          <w:kern w:val="0"/>
          <w:szCs w:val="21"/>
        </w:rPr>
      </w:pPr>
      <w:r>
        <w:rPr>
          <w:rFonts w:ascii="宋体" w:cs="Arial" w:hAnsi="宋体" w:hint="eastAsia"/>
          <w:kern w:val="0"/>
          <w:szCs w:val="21"/>
        </w:rPr>
        <w:t>鉴于中国民生银行股份有限公司系一家依照中国法律合法成立并有效存续的银行，按照相关法律法规的规定具备担任基金托管人的资格和能力；</w:t>
      </w:r>
    </w:p>
    <w:p w14:paraId="53888E9C" w14:textId="77777777" w:rsidR="005465E4" w:rsidRDefault="00EB5FF5">
      <w:pPr>
        <w:widowControl/>
        <w:adjustRightInd w:val="0"/>
        <w:spacing w:line="360" w:lineRule="auto"/>
        <w:ind w:firstLine="420" w:firstLineChars="200"/>
        <w:rPr>
          <w:rFonts w:ascii="宋体" w:cs="Arial" w:hAnsi="宋体"/>
          <w:kern w:val="0"/>
          <w:szCs w:val="21"/>
        </w:rPr>
      </w:pPr>
      <w:r>
        <w:rPr>
          <w:rFonts w:ascii="宋体" w:cs="Arial" w:hAnsi="宋体" w:hint="eastAsia"/>
          <w:kern w:val="0"/>
          <w:szCs w:val="21"/>
        </w:rPr>
        <w:t>鉴于华夏基金管理有限公司拟担任</w:t>
      </w:r>
      <w:r>
        <w:rPr>
          <w:rFonts w:hint="eastAsia"/>
          <w:bCs/>
          <w:szCs w:val="21"/>
        </w:rPr>
        <w:t>华夏中</w:t>
      </w:r>
      <w:r>
        <w:rPr>
          <w:rFonts w:hint="eastAsia"/>
          <w:bCs/>
          <w:szCs w:val="21"/>
        </w:rPr>
        <w:t>证动漫游戏交易型开放式指数证券投资基金发起式联接基金</w:t>
      </w:r>
      <w:r>
        <w:rPr>
          <w:rFonts w:ascii="宋体" w:cs="Arial" w:hAnsi="宋体" w:hint="eastAsia"/>
          <w:kern w:val="0"/>
          <w:szCs w:val="21"/>
        </w:rPr>
        <w:t>的基金管理人，中国民生银行股份有限公司拟担任</w:t>
      </w:r>
      <w:r>
        <w:rPr>
          <w:rFonts w:hint="eastAsia"/>
          <w:bCs/>
          <w:szCs w:val="21"/>
        </w:rPr>
        <w:t>华夏中证动漫游戏交易型开放式指数证券投资基金发起式联接基金</w:t>
      </w:r>
      <w:r>
        <w:rPr>
          <w:rFonts w:ascii="宋体" w:cs="Arial" w:hAnsi="宋体" w:hint="eastAsia"/>
          <w:kern w:val="0"/>
          <w:szCs w:val="21"/>
        </w:rPr>
        <w:t>的基金托管人；</w:t>
      </w:r>
    </w:p>
    <w:p w14:paraId="38D3EBC9" w14:textId="77777777" w:rsidR="005465E4" w:rsidRDefault="00EB5FF5">
      <w:pPr>
        <w:widowControl/>
        <w:adjustRightInd w:val="0"/>
        <w:spacing w:line="360" w:lineRule="auto"/>
        <w:ind w:firstLine="420" w:firstLineChars="200"/>
        <w:rPr>
          <w:rFonts w:ascii="宋体" w:cs="Arial" w:hAnsi="宋体"/>
          <w:kern w:val="0"/>
          <w:szCs w:val="21"/>
        </w:rPr>
      </w:pPr>
      <w:r>
        <w:rPr>
          <w:rFonts w:ascii="宋体" w:cs="Arial" w:hAnsi="宋体" w:hint="eastAsia"/>
          <w:kern w:val="0"/>
          <w:szCs w:val="21"/>
        </w:rPr>
        <w:t>为明确</w:t>
      </w:r>
      <w:r>
        <w:rPr>
          <w:rFonts w:hint="eastAsia"/>
          <w:bCs/>
          <w:szCs w:val="21"/>
        </w:rPr>
        <w:t>华夏中证动漫游戏交易型开放式指数证券投资基金发起式联接基金</w:t>
      </w:r>
      <w:r>
        <w:rPr>
          <w:rFonts w:ascii="宋体" w:cs="Arial" w:hAnsi="宋体" w:hint="eastAsia"/>
          <w:kern w:val="0"/>
          <w:szCs w:val="21"/>
        </w:rPr>
        <w:t>的基金管理人和基金托管人之间的权利义务关系，特制订本托管协议；</w:t>
      </w:r>
    </w:p>
    <w:p w14:paraId="35095430" w14:textId="77777777" w:rsidR="005465E4" w:rsidRDefault="00EB5FF5">
      <w:pPr>
        <w:widowControl/>
        <w:adjustRightInd w:val="0"/>
        <w:spacing w:line="360" w:lineRule="auto"/>
        <w:ind w:firstLine="420" w:firstLineChars="200"/>
        <w:rPr>
          <w:rFonts w:ascii="宋体" w:cs="Arial" w:hAnsi="宋体"/>
          <w:kern w:val="0"/>
          <w:szCs w:val="21"/>
        </w:rPr>
      </w:pPr>
      <w:r>
        <w:rPr>
          <w:rFonts w:ascii="宋体" w:cs="Arial" w:hAnsi="宋体" w:hint="eastAsia"/>
          <w:kern w:val="0"/>
          <w:szCs w:val="21"/>
        </w:rPr>
        <w:t>除非另有约定，《</w:t>
      </w:r>
      <w:r>
        <w:rPr>
          <w:rFonts w:hint="eastAsia"/>
          <w:bCs/>
          <w:szCs w:val="21"/>
        </w:rPr>
        <w:t>华夏中证动漫游戏交易型开放式指数证券投资基金发起式联接基金</w:t>
      </w:r>
      <w:r>
        <w:rPr>
          <w:rFonts w:ascii="宋体" w:cs="Arial" w:hAnsi="宋体" w:hint="eastAsia"/>
          <w:kern w:val="0"/>
          <w:szCs w:val="21"/>
        </w:rPr>
        <w:t>基金合同》</w:t>
      </w:r>
      <w:r>
        <w:rPr>
          <w:rFonts w:ascii="宋体" w:cs="Arial" w:hAnsi="宋体" w:hint="eastAsia"/>
          <w:kern w:val="0"/>
          <w:szCs w:val="21"/>
        </w:rPr>
        <w:t>(</w:t>
      </w:r>
      <w:r>
        <w:rPr>
          <w:rFonts w:ascii="宋体" w:cs="Arial" w:hAnsi="宋体" w:hint="eastAsia"/>
          <w:kern w:val="0"/>
          <w:szCs w:val="21"/>
        </w:rPr>
        <w:t>以下简称“基金合同”</w:t>
      </w:r>
      <w:r>
        <w:rPr>
          <w:rFonts w:ascii="宋体" w:cs="Arial" w:hAnsi="宋体" w:hint="eastAsia"/>
          <w:kern w:val="0"/>
          <w:szCs w:val="21"/>
        </w:rPr>
        <w:t>)</w:t>
      </w:r>
      <w:r>
        <w:rPr>
          <w:rFonts w:ascii="宋体" w:cs="Arial" w:hAnsi="宋体" w:hint="eastAsia"/>
          <w:kern w:val="0"/>
          <w:szCs w:val="21"/>
        </w:rPr>
        <w:t>中定义的术语在用于本托管协议时应具有相同的含义，若有抵触应以基金合同为准，并依其条款解释。</w:t>
      </w:r>
    </w:p>
    <w:p w14:paraId="41EF8AEE" w14:textId="77777777" w:rsidR="005465E4" w:rsidRDefault="00EB5FF5">
      <w:pPr>
        <w:widowControl/>
        <w:adjustRightInd w:val="0"/>
        <w:spacing w:line="360" w:lineRule="auto"/>
        <w:ind w:firstLine="420" w:firstLineChars="200"/>
        <w:rPr>
          <w:rFonts w:ascii="宋体" w:cs="Arial" w:hAnsi="宋体"/>
          <w:kern w:val="0"/>
          <w:szCs w:val="21"/>
        </w:rPr>
      </w:pPr>
      <w:r>
        <w:rPr>
          <w:rFonts w:ascii="宋体" w:cs="Arial" w:hAnsi="宋体" w:hint="eastAsia"/>
          <w:kern w:val="0"/>
          <w:szCs w:val="21"/>
        </w:rPr>
        <w:t>本基金信息披露</w:t>
      </w:r>
      <w:r>
        <w:rPr>
          <w:rFonts w:ascii="宋体" w:cs="Arial" w:hAnsi="宋体" w:hint="eastAsia"/>
          <w:kern w:val="0"/>
          <w:szCs w:val="21"/>
        </w:rPr>
        <w:t>事项以法律法规规定及基金合同约定的内容为准。</w:t>
      </w:r>
    </w:p>
    <w:p w14:paraId="1DB1AFF8" w14:textId="77777777" w:rsidR="005465E4" w:rsidRDefault="00EB5FF5">
      <w:pPr>
        <w:pStyle w:val="1"/>
        <w:spacing w:after="0" w:before="0" w:line="360" w:lineRule="auto"/>
        <w:ind w:firstLine="422" w:firstLineChars="200"/>
        <w:jc w:val="center"/>
        <w:rPr>
          <w:rFonts w:ascii="宋体" w:hAnsi="宋体"/>
          <w:sz w:val="21"/>
          <w:szCs w:val="21"/>
        </w:rPr>
      </w:pPr>
      <w:bookmarkStart w:id="7" w:name="_Toc295833665"/>
      <w:bookmarkStart w:id="8" w:name="_Toc295832989"/>
      <w:bookmarkStart w:id="9" w:name="_Toc295832928"/>
      <w:bookmarkStart w:id="10" w:name="_Toc295832930"/>
      <w:bookmarkStart w:id="11" w:name="_Toc295832621"/>
      <w:bookmarkStart w:id="12" w:name="_Toc295832929"/>
      <w:bookmarkStart w:id="13" w:name="_Toc295832988"/>
      <w:bookmarkStart w:id="14" w:name="_Toc295833664"/>
      <w:bookmarkStart w:id="15" w:name="_Toc295832622"/>
      <w:bookmarkStart w:id="16" w:name="_Toc295832990"/>
      <w:bookmarkStart w:id="17" w:name="_Toc295833663"/>
      <w:bookmarkStart w:id="18" w:name="_Toc295832623"/>
      <w:bookmarkStart w:id="19" w:name="_Toc270669852"/>
      <w:bookmarkStart w:id="20" w:name="_Toc124325885"/>
      <w:bookmarkEnd w:id="7"/>
      <w:bookmarkEnd w:id="8"/>
      <w:bookmarkEnd w:id="9"/>
      <w:bookmarkEnd w:id="10"/>
      <w:bookmarkEnd w:id="11"/>
      <w:bookmarkEnd w:id="12"/>
      <w:bookmarkEnd w:id="13"/>
      <w:bookmarkEnd w:id="14"/>
      <w:bookmarkEnd w:id="15"/>
      <w:bookmarkEnd w:id="16"/>
      <w:bookmarkEnd w:id="17"/>
      <w:bookmarkEnd w:id="18"/>
      <w:r>
        <w:rPr>
          <w:rFonts w:ascii="宋体" w:hAnsi="宋体"/>
          <w:sz w:val="21"/>
          <w:szCs w:val="21"/>
        </w:rPr>
        <w:br w:type="page"/>
      </w:r>
      <w:bookmarkStart w:id="21" w:name="_Toc276739045"/>
      <w:bookmarkStart w:id="22" w:name="_Toc66879679"/>
      <w:bookmarkStart w:id="23" w:name="_Toc295833667"/>
      <w:bookmarkEnd w:id="19"/>
      <w:bookmarkEnd w:id="20"/>
      <w:r>
        <w:rPr>
          <w:rFonts w:ascii="宋体" w:hAnsi="宋体" w:hint="eastAsia"/>
          <w:sz w:val="21"/>
          <w:szCs w:val="21"/>
        </w:rPr>
        <w:t>一、</w:t>
      </w:r>
      <w:r>
        <w:rPr>
          <w:rFonts w:eastAsiaTheme="minorEastAsia"/>
          <w:bCs w:val="0"/>
          <w:kern w:val="0"/>
          <w:sz w:val="21"/>
          <w:szCs w:val="21"/>
        </w:rPr>
        <w:t>基金托管协议当事人</w:t>
      </w:r>
      <w:bookmarkEnd w:id="21"/>
      <w:bookmarkEnd w:id="22"/>
    </w:p>
    <w:bookmarkEnd w:id="23"/>
    <w:p w14:paraId="44B878F6" w14:textId="77777777" w:rsidR="005465E4" w:rsidRDefault="00EB5FF5">
      <w:pPr>
        <w:adjustRightInd w:val="0"/>
        <w:spacing w:line="360" w:lineRule="auto"/>
        <w:ind w:firstLine="420" w:firstLineChars="200"/>
        <w:rPr>
          <w:rFonts w:ascii="宋体" w:hAnsi="宋体"/>
          <w:color w:val="000000"/>
          <w:szCs w:val="21"/>
        </w:rPr>
      </w:pPr>
      <w:r>
        <w:rPr>
          <w:rFonts w:ascii="宋体" w:hAnsi="宋体" w:hint="eastAsia"/>
          <w:color w:val="000000"/>
          <w:szCs w:val="21"/>
        </w:rPr>
        <w:t>（一）基金管理人</w:t>
      </w:r>
    </w:p>
    <w:p w14:paraId="7405543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名称：华夏基金管理有限公司</w:t>
      </w:r>
    </w:p>
    <w:p w14:paraId="0B7D0D4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注册地址：北京市顺义区安庆大街甲</w:t>
      </w:r>
      <w:r>
        <w:rPr>
          <w:rFonts w:ascii="宋体" w:cs="Arial" w:hAnsi="宋体"/>
          <w:szCs w:val="21"/>
        </w:rPr>
        <w:t>3</w:t>
      </w:r>
      <w:r>
        <w:rPr>
          <w:rFonts w:ascii="宋体" w:cs="Arial" w:hAnsi="宋体" w:hint="eastAsia"/>
          <w:szCs w:val="21"/>
        </w:rPr>
        <w:t>号院</w:t>
      </w:r>
    </w:p>
    <w:p w14:paraId="5772953C" w14:textId="0458EC58"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办公地址：北京市朝阳区北辰西路</w:t>
      </w:r>
      <w:r>
        <w:rPr>
          <w:rFonts w:ascii="宋体" w:cs="Arial" w:hAnsi="宋体" w:hint="eastAsia"/>
          <w:szCs w:val="21"/>
        </w:rPr>
        <w:t>6</w:t>
      </w:r>
      <w:r>
        <w:rPr>
          <w:rFonts w:ascii="宋体" w:cs="Arial" w:hAnsi="宋体" w:hint="eastAsia"/>
          <w:szCs w:val="21"/>
        </w:rPr>
        <w:t>号院北辰中心</w:t>
      </w:r>
      <w:r>
        <w:rPr>
          <w:rFonts w:ascii="宋体" w:cs="Arial" w:hAnsi="宋体" w:hint="eastAsia"/>
          <w:szCs w:val="21"/>
        </w:rPr>
        <w:t>C</w:t>
      </w:r>
      <w:r>
        <w:rPr>
          <w:rFonts w:ascii="宋体" w:cs="Arial" w:hAnsi="宋体" w:hint="eastAsia"/>
          <w:szCs w:val="21"/>
        </w:rPr>
        <w:t>座</w:t>
      </w:r>
      <w:r>
        <w:rPr>
          <w:rFonts w:ascii="宋体" w:cs="Arial" w:hAnsi="宋体" w:hint="eastAsia"/>
          <w:szCs w:val="21"/>
        </w:rPr>
        <w:t>5</w:t>
      </w:r>
      <w:r>
        <w:rPr>
          <w:rFonts w:ascii="宋体" w:cs="Arial" w:hAnsi="宋体" w:hint="eastAsia"/>
          <w:szCs w:val="21"/>
        </w:rPr>
        <w:t>层</w:t>
      </w:r>
    </w:p>
    <w:p w14:paraId="61D40D1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邮政编码：</w:t>
      </w:r>
      <w:r>
        <w:rPr>
          <w:rFonts w:ascii="宋体" w:cs="Arial" w:hAnsi="宋体"/>
          <w:szCs w:val="21"/>
        </w:rPr>
        <w:t>100033</w:t>
      </w:r>
    </w:p>
    <w:p w14:paraId="1F071395" w14:textId="626F9A7F"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法定代表人：张佑君</w:t>
      </w:r>
    </w:p>
    <w:p w14:paraId="6D87080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成立日期：</w:t>
      </w:r>
      <w:r>
        <w:rPr>
          <w:rFonts w:ascii="宋体" w:cs="Arial" w:hAnsi="宋体" w:hint="eastAsia"/>
          <w:szCs w:val="21"/>
        </w:rPr>
        <w:t>1998</w:t>
      </w:r>
      <w:r>
        <w:rPr>
          <w:rFonts w:ascii="宋体" w:cs="Arial" w:hAnsi="宋体" w:hint="eastAsia"/>
          <w:szCs w:val="21"/>
        </w:rPr>
        <w:t>年</w:t>
      </w:r>
      <w:r>
        <w:rPr>
          <w:rFonts w:ascii="宋体" w:cs="Arial" w:hAnsi="宋体" w:hint="eastAsia"/>
          <w:szCs w:val="21"/>
        </w:rPr>
        <w:t>4</w:t>
      </w:r>
      <w:r>
        <w:rPr>
          <w:rFonts w:ascii="宋体" w:cs="Arial" w:hAnsi="宋体" w:hint="eastAsia"/>
          <w:szCs w:val="21"/>
        </w:rPr>
        <w:t>月</w:t>
      </w:r>
      <w:r>
        <w:rPr>
          <w:rFonts w:ascii="宋体" w:cs="Arial" w:hAnsi="宋体" w:hint="eastAsia"/>
          <w:szCs w:val="21"/>
        </w:rPr>
        <w:t>9</w:t>
      </w:r>
      <w:r>
        <w:rPr>
          <w:rFonts w:ascii="宋体" w:cs="Arial" w:hAnsi="宋体" w:hint="eastAsia"/>
          <w:szCs w:val="21"/>
        </w:rPr>
        <w:t>日</w:t>
      </w:r>
    </w:p>
    <w:p w14:paraId="704AF62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批准设立机关及批准设立文号：中国证监会证监基字</w:t>
      </w:r>
      <w:r>
        <w:rPr>
          <w:rFonts w:ascii="宋体" w:cs="Arial" w:hAnsi="宋体" w:hint="eastAsia"/>
          <w:szCs w:val="21"/>
        </w:rPr>
        <w:t>[1998]16</w:t>
      </w:r>
      <w:r>
        <w:rPr>
          <w:rFonts w:ascii="宋体" w:cs="Arial" w:hAnsi="宋体" w:hint="eastAsia"/>
          <w:szCs w:val="21"/>
        </w:rPr>
        <w:t>号文</w:t>
      </w:r>
    </w:p>
    <w:p w14:paraId="06D18C9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组织形式：有限责任公司</w:t>
      </w:r>
    </w:p>
    <w:p w14:paraId="300B115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注册资本：</w:t>
      </w:r>
      <w:r>
        <w:rPr>
          <w:rFonts w:ascii="宋体" w:cs="Arial" w:hAnsi="宋体" w:hint="eastAsia"/>
          <w:szCs w:val="21"/>
        </w:rPr>
        <w:t>2.38</w:t>
      </w:r>
      <w:r>
        <w:rPr>
          <w:rFonts w:ascii="宋体" w:cs="Arial" w:hAnsi="宋体" w:hint="eastAsia"/>
          <w:szCs w:val="21"/>
        </w:rPr>
        <w:t>亿元人民币</w:t>
      </w:r>
    </w:p>
    <w:p w14:paraId="33A3F41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存续期间：</w:t>
      </w:r>
      <w:r>
        <w:rPr>
          <w:rFonts w:ascii="宋体" w:cs="Arial" w:hAnsi="宋体" w:hint="eastAsia"/>
          <w:szCs w:val="21"/>
        </w:rPr>
        <w:t>100</w:t>
      </w:r>
      <w:r>
        <w:rPr>
          <w:rFonts w:ascii="宋体" w:cs="Arial" w:hAnsi="宋体" w:hint="eastAsia"/>
          <w:szCs w:val="21"/>
        </w:rPr>
        <w:t>年</w:t>
      </w:r>
    </w:p>
    <w:p w14:paraId="33D801E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经营范围：（一）基金募集；（二）基金销售；（三）资产管理；（四）从事特定客户资产管理业务；（五）中国证监会核准的其他业务。</w:t>
      </w:r>
    </w:p>
    <w:p w14:paraId="00CCE152" w14:textId="77777777" w:rsidR="005465E4" w:rsidRDefault="00EB5FF5">
      <w:pPr>
        <w:adjustRightInd w:val="0"/>
        <w:spacing w:line="360" w:lineRule="auto"/>
        <w:ind w:firstLine="420" w:firstLineChars="200"/>
        <w:rPr>
          <w:rFonts w:ascii="宋体" w:hAnsi="宋体"/>
          <w:color w:val="000000"/>
          <w:szCs w:val="21"/>
        </w:rPr>
      </w:pPr>
      <w:r>
        <w:rPr>
          <w:rFonts w:ascii="宋体" w:hAnsi="宋体" w:hint="eastAsia"/>
          <w:color w:val="000000"/>
          <w:szCs w:val="21"/>
        </w:rPr>
        <w:t>（二）基金托管人</w:t>
      </w:r>
    </w:p>
    <w:p w14:paraId="4EECAC5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名称：中国民生银行股份有限公司</w:t>
      </w:r>
    </w:p>
    <w:p w14:paraId="689BEC6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注册地址：北京市西城区复兴门内大街</w:t>
      </w:r>
      <w:r>
        <w:rPr>
          <w:rFonts w:ascii="宋体" w:cs="Arial" w:hAnsi="宋体" w:hint="eastAsia"/>
          <w:szCs w:val="21"/>
        </w:rPr>
        <w:t>2</w:t>
      </w:r>
      <w:r>
        <w:rPr>
          <w:rFonts w:ascii="宋体" w:cs="Arial" w:hAnsi="宋体" w:hint="eastAsia"/>
          <w:szCs w:val="21"/>
        </w:rPr>
        <w:t>号</w:t>
      </w:r>
    </w:p>
    <w:p w14:paraId="40CA1C1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办公地址：北京市西城区复兴门内大街</w:t>
      </w:r>
      <w:r>
        <w:rPr>
          <w:rFonts w:ascii="宋体" w:cs="Arial" w:hAnsi="宋体" w:hint="eastAsia"/>
          <w:szCs w:val="21"/>
        </w:rPr>
        <w:t>2</w:t>
      </w:r>
      <w:r>
        <w:rPr>
          <w:rFonts w:ascii="宋体" w:cs="Arial" w:hAnsi="宋体" w:hint="eastAsia"/>
          <w:szCs w:val="21"/>
        </w:rPr>
        <w:t>号</w:t>
      </w:r>
    </w:p>
    <w:p w14:paraId="24A3856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邮政编码：</w:t>
      </w:r>
      <w:r>
        <w:rPr>
          <w:rFonts w:ascii="宋体" w:cs="Arial" w:hAnsi="宋体" w:hint="eastAsia"/>
          <w:szCs w:val="21"/>
        </w:rPr>
        <w:t>100031</w:t>
      </w:r>
    </w:p>
    <w:p w14:paraId="30428AD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法定代表人：</w:t>
      </w:r>
      <w:r>
        <w:rPr>
          <w:rFonts w:ascii="新宋体" w:eastAsia="新宋体" w:hAnsi="新宋体"/>
          <w:szCs w:val="21"/>
        </w:rPr>
        <w:t>高迎欣</w:t>
      </w:r>
    </w:p>
    <w:p w14:paraId="03D5A86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成立日期：</w:t>
      </w:r>
      <w:r>
        <w:rPr>
          <w:rFonts w:ascii="新宋体" w:eastAsia="新宋体" w:hAnsi="新宋体" w:hint="eastAsia"/>
          <w:szCs w:val="21"/>
        </w:rPr>
        <w:t>1996</w:t>
      </w:r>
      <w:r>
        <w:rPr>
          <w:rFonts w:ascii="新宋体" w:eastAsia="新宋体" w:hAnsi="新宋体" w:hint="eastAsia"/>
          <w:szCs w:val="21"/>
        </w:rPr>
        <w:t>年</w:t>
      </w:r>
      <w:r>
        <w:rPr>
          <w:rFonts w:ascii="新宋体" w:eastAsia="新宋体" w:hAnsi="新宋体" w:hint="eastAsia"/>
          <w:szCs w:val="21"/>
        </w:rPr>
        <w:t>2</w:t>
      </w:r>
      <w:r>
        <w:rPr>
          <w:rFonts w:ascii="新宋体" w:eastAsia="新宋体" w:hAnsi="新宋体" w:hint="eastAsia"/>
          <w:szCs w:val="21"/>
        </w:rPr>
        <w:t>月</w:t>
      </w:r>
      <w:r>
        <w:rPr>
          <w:rFonts w:ascii="新宋体" w:eastAsia="新宋体" w:hAnsi="新宋体" w:hint="eastAsia"/>
          <w:szCs w:val="21"/>
        </w:rPr>
        <w:t>7</w:t>
      </w:r>
      <w:r>
        <w:rPr>
          <w:rFonts w:ascii="新宋体" w:eastAsia="新宋体" w:hAnsi="新宋体" w:hint="eastAsia"/>
          <w:szCs w:val="21"/>
        </w:rPr>
        <w:t>日</w:t>
      </w:r>
    </w:p>
    <w:p w14:paraId="36A9939D" w14:textId="77777777" w:rsidR="005465E4" w:rsidRDefault="00EB5FF5">
      <w:pPr>
        <w:spacing w:line="360" w:lineRule="auto"/>
        <w:ind w:firstLine="420" w:firstLineChars="200"/>
        <w:rPr>
          <w:rFonts w:ascii="宋体" w:hAnsi="宋体"/>
          <w:color w:val="000000"/>
          <w:szCs w:val="21"/>
        </w:rPr>
      </w:pPr>
      <w:r>
        <w:rPr>
          <w:rFonts w:ascii="宋体" w:hAnsi="宋体" w:hint="eastAsia"/>
          <w:color w:val="000000"/>
          <w:szCs w:val="21"/>
        </w:rPr>
        <w:t>基金托管业务批准文号：证监基金字</w:t>
      </w:r>
      <w:r>
        <w:rPr>
          <w:rFonts w:ascii="宋体" w:hAnsi="宋体" w:hint="eastAsia"/>
          <w:color w:val="000000"/>
          <w:szCs w:val="21"/>
        </w:rPr>
        <w:t>[2004]101</w:t>
      </w:r>
      <w:r>
        <w:rPr>
          <w:rFonts w:ascii="宋体" w:hAnsi="宋体" w:hint="eastAsia"/>
          <w:color w:val="000000"/>
          <w:szCs w:val="21"/>
        </w:rPr>
        <w:t>号</w:t>
      </w:r>
    </w:p>
    <w:p w14:paraId="2290C9F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组织形式：</w:t>
      </w:r>
      <w:r>
        <w:rPr>
          <w:rFonts w:hint="eastAsia"/>
          <w:szCs w:val="21"/>
        </w:rPr>
        <w:t>其他股份有限公司（上市）</w:t>
      </w:r>
    </w:p>
    <w:p w14:paraId="27A12A6D" w14:textId="6E86F29E" w:rsidR="005465E4" w:rsidRDefault="00EB5FF5">
      <w:pPr>
        <w:spacing w:line="360" w:lineRule="auto"/>
        <w:ind w:firstLine="420" w:firstLineChars="200"/>
        <w:rPr>
          <w:rFonts w:ascii="宋体" w:hAnsi="宋体"/>
          <w:color w:val="000000"/>
          <w:szCs w:val="21"/>
        </w:rPr>
      </w:pPr>
      <w:r>
        <w:rPr>
          <w:rFonts w:ascii="宋体" w:hAnsi="宋体" w:hint="eastAsia"/>
          <w:color w:val="000000"/>
          <w:szCs w:val="21"/>
        </w:rPr>
        <w:t>注册资本：</w:t>
      </w:r>
      <w:r>
        <w:rPr>
          <w:rFonts w:ascii="宋体" w:hAnsi="宋体"/>
          <w:color w:val="000000"/>
          <w:szCs w:val="21"/>
        </w:rPr>
        <w:t>43,782,418,502</w:t>
      </w:r>
      <w:r>
        <w:rPr>
          <w:rFonts w:ascii="宋体" w:hAnsi="宋体" w:hint="eastAsia"/>
          <w:color w:val="000000"/>
          <w:szCs w:val="21"/>
        </w:rPr>
        <w:t>元人民币</w:t>
      </w:r>
    </w:p>
    <w:p w14:paraId="6CE570AF" w14:textId="77777777" w:rsidR="005465E4" w:rsidRDefault="00EB5FF5">
      <w:pPr>
        <w:adjustRightInd w:val="0"/>
        <w:spacing w:line="360" w:lineRule="auto"/>
        <w:ind w:firstLine="420" w:firstLineChars="200"/>
        <w:rPr>
          <w:rFonts w:ascii="宋体" w:cs="Arial" w:hAnsi="宋体"/>
          <w:szCs w:val="21"/>
        </w:rPr>
      </w:pPr>
      <w:r>
        <w:rPr>
          <w:rFonts w:ascii="宋体" w:hAnsi="宋体" w:hint="eastAsia"/>
          <w:color w:val="000000"/>
          <w:szCs w:val="21"/>
        </w:rPr>
        <w:t>存续期间：</w:t>
      </w:r>
      <w:r>
        <w:rPr>
          <w:rFonts w:ascii="新宋体" w:eastAsia="新宋体" w:hAnsi="新宋体" w:hint="eastAsia"/>
          <w:szCs w:val="21"/>
        </w:rPr>
        <w:t>1996</w:t>
      </w:r>
      <w:r>
        <w:rPr>
          <w:rFonts w:ascii="新宋体" w:eastAsia="新宋体" w:hAnsi="新宋体" w:hint="eastAsia"/>
          <w:szCs w:val="21"/>
        </w:rPr>
        <w:t>年</w:t>
      </w:r>
      <w:r>
        <w:rPr>
          <w:rFonts w:ascii="新宋体" w:eastAsia="新宋体" w:hAnsi="新宋体" w:hint="eastAsia"/>
          <w:szCs w:val="21"/>
        </w:rPr>
        <w:t>2</w:t>
      </w:r>
      <w:r>
        <w:rPr>
          <w:rFonts w:ascii="新宋体" w:eastAsia="新宋体" w:hAnsi="新宋体" w:hint="eastAsia"/>
          <w:szCs w:val="21"/>
        </w:rPr>
        <w:t>月</w:t>
      </w:r>
      <w:r>
        <w:rPr>
          <w:rFonts w:ascii="新宋体" w:eastAsia="新宋体" w:hAnsi="新宋体" w:hint="eastAsia"/>
          <w:szCs w:val="21"/>
        </w:rPr>
        <w:t>7</w:t>
      </w:r>
      <w:r>
        <w:rPr>
          <w:rFonts w:ascii="新宋体" w:eastAsia="新宋体" w:hAnsi="新宋体" w:hint="eastAsia"/>
          <w:szCs w:val="21"/>
        </w:rPr>
        <w:t>日</w:t>
      </w:r>
      <w:r>
        <w:rPr>
          <w:rFonts w:ascii="宋体" w:hAnsi="宋体" w:hint="eastAsia"/>
          <w:color w:val="000000"/>
          <w:szCs w:val="21"/>
        </w:rPr>
        <w:t>至长期</w:t>
      </w:r>
    </w:p>
    <w:p w14:paraId="3920E8A7" w14:textId="6035BB84"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经营范围：</w:t>
      </w:r>
      <w:r w:rsidRPr="00390547">
        <w:rPr>
          <w:rFonts w:ascii="宋体" w:cs="Arial" w:hAnsi="宋体" w:hint="eastAsia"/>
          <w:szCs w:val="21"/>
        </w:rPr>
        <w:t>吸收公众存款；发放短期、中期和长期贷款；办理国内外结算；办理票据承兑与贴现、发行金融债券；代理发行、代理兑付、承销政府债券；买卖政府债券、金融债券；从事同业拆借；买卖、代理买卖外汇；从事结汇、售汇业务；从事银行卡业务；提供信用证服务及担保；代理收付款项；提供保管箱服务；经国务院银行业监督管理机构批准的其他业务；保险兼业代理业务；证券投资基金销售、证券投资基金托管。（市场主体依法自主选择经营项目，开展经营活动；保险兼业代理业务、证券投资基金销售、证券投资基金托管以及依法须经批准的项目，经相关部门批准后依批准的</w:t>
      </w:r>
      <w:r w:rsidRPr="00390547">
        <w:rPr>
          <w:rFonts w:ascii="宋体" w:cs="Arial" w:hAnsi="宋体" w:hint="eastAsia"/>
          <w:szCs w:val="21"/>
        </w:rPr>
        <w:t>内容开展经营活动；不得从事国家和本市产业政策禁止和限制类项目的经营活动。）</w:t>
      </w:r>
    </w:p>
    <w:p w14:paraId="3E8A2AE8"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hAnsi="宋体"/>
          <w:sz w:val="21"/>
          <w:szCs w:val="21"/>
        </w:rPr>
        <w:br w:type="page"/>
      </w:r>
      <w:bookmarkStart w:id="24" w:name="_Toc295832992"/>
      <w:bookmarkStart w:id="25" w:name="_Toc295832932"/>
      <w:bookmarkStart w:id="26" w:name="_Toc295832625"/>
      <w:bookmarkStart w:id="27" w:name="_Toc270669853"/>
      <w:bookmarkStart w:id="28" w:name="_Toc124325886"/>
      <w:bookmarkStart w:id="29" w:name="_Toc66879680"/>
      <w:bookmarkStart w:id="30" w:name="_Toc295833668"/>
      <w:bookmarkEnd w:id="24"/>
      <w:bookmarkEnd w:id="25"/>
      <w:bookmarkEnd w:id="26"/>
      <w:r>
        <w:rPr>
          <w:rFonts w:ascii="宋体" w:hAnsi="宋体" w:hint="eastAsia"/>
          <w:sz w:val="21"/>
          <w:szCs w:val="21"/>
        </w:rPr>
        <w:t>二、基金托管协议的依据、目的和原则</w:t>
      </w:r>
      <w:bookmarkEnd w:id="27"/>
      <w:bookmarkEnd w:id="28"/>
      <w:bookmarkEnd w:id="29"/>
      <w:bookmarkEnd w:id="30"/>
    </w:p>
    <w:p w14:paraId="559CD0C2" w14:textId="77777777" w:rsidR="005465E4" w:rsidRDefault="00EB5FF5">
      <w:pPr>
        <w:adjustRightInd w:val="0"/>
        <w:spacing w:line="360" w:lineRule="auto"/>
        <w:ind w:firstLine="420" w:firstLineChars="200"/>
        <w:rPr>
          <w:rFonts w:ascii="宋体" w:hAnsi="宋体"/>
          <w:color w:val="000000"/>
          <w:szCs w:val="21"/>
        </w:rPr>
      </w:pPr>
      <w:r>
        <w:rPr>
          <w:rFonts w:ascii="宋体" w:hAnsi="宋体" w:hint="eastAsia"/>
          <w:color w:val="000000"/>
          <w:szCs w:val="21"/>
        </w:rPr>
        <w:t>（一）订立托管协议的依据</w:t>
      </w:r>
    </w:p>
    <w:p w14:paraId="7C01917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本协议依据《中华人民共和国证券投资基金法》</w:t>
      </w:r>
      <w:r>
        <w:rPr>
          <w:rFonts w:ascii="宋体" w:cs="Arial" w:hAnsi="宋体" w:hint="eastAsia"/>
          <w:szCs w:val="21"/>
        </w:rPr>
        <w:t>(</w:t>
      </w:r>
      <w:r>
        <w:rPr>
          <w:rFonts w:ascii="宋体" w:cs="Arial" w:hAnsi="宋体" w:hint="eastAsia"/>
          <w:szCs w:val="21"/>
        </w:rPr>
        <w:t>以下简称“《基金法》”</w:t>
      </w:r>
      <w:r>
        <w:rPr>
          <w:rFonts w:ascii="宋体" w:cs="Arial" w:hAnsi="宋体" w:hint="eastAsia"/>
          <w:szCs w:val="21"/>
        </w:rPr>
        <w:t>)</w:t>
      </w:r>
      <w:r>
        <w:rPr>
          <w:rFonts w:ascii="宋体" w:cs="Arial" w:hAnsi="宋体" w:hint="eastAsia"/>
          <w:szCs w:val="21"/>
        </w:rPr>
        <w:t>、《中华人民共和国民法典》、《中华人民共和国证券法》</w:t>
      </w:r>
      <w:r>
        <w:rPr>
          <w:rFonts w:ascii="宋体" w:cs="Arial" w:hAnsi="宋体"/>
          <w:szCs w:val="21"/>
        </w:rPr>
        <w:t>(</w:t>
      </w:r>
      <w:r>
        <w:rPr>
          <w:rFonts w:ascii="宋体" w:cs="Arial" w:hAnsi="宋体"/>
          <w:szCs w:val="21"/>
        </w:rPr>
        <w:t>以下简称</w:t>
      </w:r>
      <w:r>
        <w:rPr>
          <w:rFonts w:ascii="宋体" w:cs="Arial" w:hAnsi="宋体"/>
          <w:szCs w:val="21"/>
        </w:rPr>
        <w:t>“</w:t>
      </w:r>
      <w:r>
        <w:rPr>
          <w:rFonts w:ascii="宋体" w:cs="Arial" w:hAnsi="宋体"/>
          <w:szCs w:val="21"/>
        </w:rPr>
        <w:t>《</w:t>
      </w:r>
      <w:r>
        <w:rPr>
          <w:rFonts w:ascii="宋体" w:cs="Arial" w:hAnsi="宋体" w:hint="eastAsia"/>
          <w:szCs w:val="21"/>
        </w:rPr>
        <w:t>证券</w:t>
      </w:r>
      <w:r>
        <w:rPr>
          <w:rFonts w:ascii="宋体" w:cs="Arial" w:hAnsi="宋体"/>
          <w:szCs w:val="21"/>
        </w:rPr>
        <w:t>法》</w:t>
      </w:r>
      <w:r>
        <w:rPr>
          <w:rFonts w:ascii="宋体" w:cs="Arial" w:hAnsi="宋体"/>
          <w:szCs w:val="21"/>
        </w:rPr>
        <w:t>”)</w:t>
      </w:r>
      <w:r>
        <w:rPr>
          <w:rFonts w:ascii="宋体" w:cs="Arial" w:hAnsi="宋体" w:hint="eastAsia"/>
          <w:szCs w:val="21"/>
        </w:rPr>
        <w:t>、《证券投资基金托管业务管理办法》、《公开募集证券投资基金运作管理办法》（以下简称“《运作办法》”）、《公开募集证券投资基金销售机构监督管理办法》（以下简称“《销售办法》”）、《</w:t>
      </w:r>
      <w:r>
        <w:rPr>
          <w:rFonts w:ascii="宋体" w:cs="Arial" w:hAnsi="宋体" w:hint="eastAsia"/>
          <w:kern w:val="0"/>
          <w:szCs w:val="21"/>
        </w:rPr>
        <w:t>公开</w:t>
      </w:r>
      <w:r>
        <w:rPr>
          <w:rFonts w:ascii="宋体" w:cs="Arial" w:hAnsi="宋体"/>
          <w:kern w:val="0"/>
          <w:szCs w:val="21"/>
        </w:rPr>
        <w:t>募集</w:t>
      </w:r>
      <w:r>
        <w:rPr>
          <w:rFonts w:ascii="宋体" w:cs="Arial" w:hAnsi="宋体" w:hint="eastAsia"/>
          <w:szCs w:val="21"/>
        </w:rPr>
        <w:t>证券投资基金信息披露管理办法》（以下简称“《信息披露办法》”）、《证券投资基金信息披露内容与格式准则第</w:t>
      </w:r>
      <w:r>
        <w:rPr>
          <w:rFonts w:ascii="宋体" w:cs="Arial" w:hAnsi="宋体" w:hint="eastAsia"/>
          <w:szCs w:val="21"/>
        </w:rPr>
        <w:t>7</w:t>
      </w:r>
      <w:r>
        <w:rPr>
          <w:rFonts w:ascii="宋体" w:cs="Arial" w:hAnsi="宋体" w:hint="eastAsia"/>
          <w:szCs w:val="21"/>
        </w:rPr>
        <w:t>号〈托管协议的内容与格式〉》、</w:t>
      </w:r>
      <w:r>
        <w:rPr>
          <w:rFonts w:ascii="宋体" w:cs="Arial" w:hAnsi="宋体"/>
          <w:szCs w:val="21"/>
        </w:rPr>
        <w:t>《公开募集开放式</w:t>
      </w:r>
      <w:r>
        <w:rPr>
          <w:rFonts w:ascii="宋体" w:cs="Arial" w:hAnsi="宋体" w:hint="eastAsia"/>
          <w:szCs w:val="21"/>
        </w:rPr>
        <w:t>证券</w:t>
      </w:r>
      <w:r>
        <w:rPr>
          <w:rFonts w:ascii="宋体" w:cs="Arial" w:hAnsi="宋体"/>
          <w:szCs w:val="21"/>
        </w:rPr>
        <w:t>投资基金流动性风险管理规定》（以下简称</w:t>
      </w:r>
      <w:r>
        <w:rPr>
          <w:rFonts w:ascii="宋体" w:cs="Arial" w:hAnsi="宋体"/>
          <w:szCs w:val="21"/>
        </w:rPr>
        <w:t>“</w:t>
      </w:r>
      <w:r>
        <w:rPr>
          <w:rFonts w:ascii="宋体" w:cs="Arial" w:hAnsi="宋体"/>
          <w:szCs w:val="21"/>
        </w:rPr>
        <w:t>《流动性风险</w:t>
      </w:r>
      <w:r>
        <w:rPr>
          <w:rFonts w:ascii="宋体" w:cs="Arial" w:hAnsi="宋体" w:hint="eastAsia"/>
          <w:szCs w:val="21"/>
        </w:rPr>
        <w:t>管理</w:t>
      </w:r>
      <w:r>
        <w:rPr>
          <w:rFonts w:ascii="宋体" w:cs="Arial" w:hAnsi="宋体"/>
          <w:szCs w:val="21"/>
        </w:rPr>
        <w:t>规定》</w:t>
      </w:r>
      <w:r>
        <w:rPr>
          <w:rFonts w:ascii="宋体" w:cs="Arial" w:hAnsi="宋体"/>
          <w:szCs w:val="21"/>
        </w:rPr>
        <w:t>”</w:t>
      </w:r>
      <w:r>
        <w:rPr>
          <w:rFonts w:ascii="宋体" w:cs="Arial" w:hAnsi="宋体"/>
          <w:szCs w:val="21"/>
        </w:rPr>
        <w:t>）</w:t>
      </w:r>
      <w:r>
        <w:rPr>
          <w:rFonts w:ascii="宋体" w:cs="Arial" w:hAnsi="宋体" w:hint="eastAsia"/>
          <w:szCs w:val="21"/>
        </w:rPr>
        <w:t>等有关法律法规、基金合同及其他有关规定制订。</w:t>
      </w:r>
    </w:p>
    <w:p w14:paraId="63359CA0" w14:textId="77777777" w:rsidR="005465E4" w:rsidRDefault="00EB5FF5">
      <w:pPr>
        <w:adjustRightInd w:val="0"/>
        <w:spacing w:line="360" w:lineRule="auto"/>
        <w:ind w:firstLine="420" w:firstLineChars="200"/>
        <w:rPr>
          <w:rFonts w:ascii="宋体" w:hAnsi="宋体"/>
          <w:szCs w:val="21"/>
        </w:rPr>
      </w:pPr>
      <w:r>
        <w:rPr>
          <w:rFonts w:ascii="宋体" w:hAnsi="宋体" w:hint="eastAsia"/>
          <w:color w:val="000000"/>
          <w:szCs w:val="21"/>
        </w:rPr>
        <w:t>（二）订立托管协议的目的</w:t>
      </w:r>
    </w:p>
    <w:p w14:paraId="1AC69AA4" w14:textId="77777777" w:rsidR="005465E4" w:rsidRDefault="00EB5FF5">
      <w:pPr>
        <w:adjustRightInd w:val="0"/>
        <w:spacing w:line="360" w:lineRule="auto"/>
        <w:ind w:firstLine="420" w:firstLineChars="200"/>
        <w:rPr>
          <w:rFonts w:ascii="宋体" w:hAnsi="宋体"/>
          <w:szCs w:val="21"/>
        </w:rPr>
      </w:pPr>
      <w:r>
        <w:rPr>
          <w:rFonts w:ascii="宋体" w:cs="Arial" w:hAnsi="宋体" w:hint="eastAsia"/>
          <w:szCs w:val="21"/>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50274A5D" w14:textId="77777777" w:rsidR="005465E4" w:rsidRDefault="00EB5FF5">
      <w:pPr>
        <w:adjustRightInd w:val="0"/>
        <w:spacing w:line="360" w:lineRule="auto"/>
        <w:ind w:firstLine="420" w:firstLineChars="200"/>
        <w:rPr>
          <w:rFonts w:ascii="宋体" w:hAnsi="宋体"/>
          <w:color w:val="000000"/>
          <w:szCs w:val="21"/>
        </w:rPr>
      </w:pPr>
      <w:r>
        <w:rPr>
          <w:rFonts w:ascii="宋体" w:hAnsi="宋体" w:hint="eastAsia"/>
          <w:color w:val="000000"/>
          <w:szCs w:val="21"/>
        </w:rPr>
        <w:t>（三）订立托管协议的原则</w:t>
      </w:r>
    </w:p>
    <w:p w14:paraId="0E5CA1E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基金管理人和基金托管人本着平等自愿、诚实信用、充分保护基金份额持有人合法权益的原则，经协商一致，签订本协议。</w:t>
      </w:r>
    </w:p>
    <w:p w14:paraId="12BB3B9D" w14:textId="77777777" w:rsidR="005465E4" w:rsidRDefault="00EB5FF5">
      <w:pPr>
        <w:pStyle w:val="1"/>
        <w:spacing w:after="0" w:before="0" w:line="360" w:lineRule="auto"/>
        <w:ind w:firstLine="422" w:firstLineChars="200"/>
        <w:jc w:val="center"/>
        <w:rPr>
          <w:sz w:val="21"/>
          <w:szCs w:val="21"/>
        </w:rPr>
      </w:pPr>
      <w:bookmarkStart w:id="31" w:name="_Toc295832630"/>
      <w:bookmarkStart w:id="32" w:name="_Toc295832995"/>
      <w:bookmarkStart w:id="33" w:name="_Toc295832936"/>
      <w:bookmarkStart w:id="34" w:name="_Toc295832997"/>
      <w:bookmarkStart w:id="35" w:name="_Toc295832996"/>
      <w:bookmarkStart w:id="36" w:name="_Toc295832935"/>
      <w:bookmarkStart w:id="37" w:name="_Toc295832628"/>
      <w:bookmarkStart w:id="38" w:name="_Toc295832629"/>
      <w:bookmarkStart w:id="39" w:name="_Toc295832937"/>
      <w:bookmarkEnd w:id="31"/>
      <w:bookmarkEnd w:id="32"/>
      <w:bookmarkEnd w:id="33"/>
      <w:bookmarkEnd w:id="34"/>
      <w:bookmarkEnd w:id="35"/>
      <w:bookmarkEnd w:id="36"/>
      <w:bookmarkEnd w:id="37"/>
      <w:bookmarkEnd w:id="38"/>
      <w:bookmarkEnd w:id="39"/>
      <w:r>
        <w:rPr>
          <w:rFonts w:ascii="宋体" w:hAnsi="宋体"/>
          <w:sz w:val="21"/>
          <w:szCs w:val="21"/>
        </w:rPr>
        <w:br w:type="page"/>
      </w:r>
      <w:bookmarkStart w:id="40" w:name="_Toc66879681"/>
      <w:r>
        <w:rPr>
          <w:rFonts w:ascii="宋体" w:hAnsi="宋体" w:hint="eastAsia"/>
          <w:sz w:val="21"/>
          <w:szCs w:val="21"/>
        </w:rPr>
        <w:t>三、基金托管人对基金管理人的业务监督和核查</w:t>
      </w:r>
      <w:bookmarkEnd w:id="40"/>
    </w:p>
    <w:p w14:paraId="33EAA7B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池相关投资比例约定进行监督，对存在疑义的事项进行核查。基金管理人应通过电子邮件或双方认可的其他方</w:t>
      </w:r>
      <w:r>
        <w:rPr>
          <w:rFonts w:ascii="宋体" w:cs="Arial" w:hAnsi="宋体" w:hint="eastAsia"/>
          <w:szCs w:val="21"/>
        </w:rPr>
        <w:t>式完整、准确地向基金托管人提供投资品种池信息，如因基金管理人原因未向托管人提供投资品种池而造成基金托管人投资监督不及时的，基金托管人不承担相关责任。</w:t>
      </w:r>
    </w:p>
    <w:p w14:paraId="4C30DB5D" w14:textId="77777777" w:rsidR="005465E4" w:rsidRDefault="00EB5FF5">
      <w:pPr>
        <w:spacing w:line="360" w:lineRule="auto"/>
        <w:ind w:firstLine="420" w:firstLineChars="200"/>
        <w:rPr>
          <w:rFonts w:ascii="宋体" w:cs="Arial" w:hAnsi="宋体"/>
          <w:szCs w:val="21"/>
        </w:rPr>
      </w:pPr>
      <w:r>
        <w:rPr>
          <w:rFonts w:ascii="宋体" w:cs="Arial" w:hAnsi="宋体"/>
          <w:szCs w:val="21"/>
        </w:rPr>
        <w:t>本基金主要投资于目标</w:t>
      </w:r>
      <w:r>
        <w:rPr>
          <w:rFonts w:ascii="宋体" w:cs="Arial" w:hAnsi="宋体"/>
          <w:szCs w:val="21"/>
        </w:rPr>
        <w:t>ETF</w:t>
      </w:r>
      <w:r>
        <w:rPr>
          <w:rFonts w:ascii="宋体" w:cs="Arial" w:hAnsi="宋体"/>
          <w:szCs w:val="21"/>
        </w:rPr>
        <w:t>基金份额、标的指数成份股、备选成份股。为更好地实现投资目标，基金还可投资于非成份股（含</w:t>
      </w:r>
      <w:r>
        <w:rPr>
          <w:rFonts w:ascii="宋体" w:cs="Arial" w:hAnsi="宋体" w:hint="eastAsia"/>
          <w:szCs w:val="21"/>
        </w:rPr>
        <w:t>存托凭证、</w:t>
      </w:r>
      <w:r>
        <w:rPr>
          <w:rFonts w:ascii="宋体" w:cs="Arial" w:hAnsi="宋体"/>
          <w:szCs w:val="21"/>
        </w:rPr>
        <w:t>创业板及其他中国证监会注册或核准上市的股票）、债券</w:t>
      </w:r>
      <w:r>
        <w:rPr>
          <w:rFonts w:ascii="宋体" w:cs="Arial" w:hAnsi="宋体"/>
          <w:szCs w:val="21"/>
        </w:rPr>
        <w:t>(</w:t>
      </w:r>
      <w:r>
        <w:rPr>
          <w:rFonts w:ascii="宋体" w:cs="Arial" w:hAnsi="宋体"/>
          <w:szCs w:val="21"/>
        </w:rPr>
        <w:t>包括国债、央行票据、金融债券、企业债券、公司债券、中期票据、短期融资券、超短期融资券、次级债券、地方政府债券、可转换债券、可交换债券及其他经中国证监会允许投资的债券</w:t>
      </w:r>
      <w:r>
        <w:rPr>
          <w:rFonts w:ascii="宋体" w:cs="Arial" w:hAnsi="宋体"/>
          <w:szCs w:val="21"/>
        </w:rPr>
        <w:t>)</w:t>
      </w:r>
      <w:r>
        <w:rPr>
          <w:rFonts w:ascii="宋体" w:cs="Arial" w:hAnsi="宋体"/>
          <w:szCs w:val="21"/>
        </w:rPr>
        <w:t>、衍生品（包括股指期货</w:t>
      </w:r>
      <w:r>
        <w:rPr>
          <w:rFonts w:ascii="宋体" w:cs="Arial" w:hAnsi="宋体"/>
          <w:szCs w:val="21"/>
        </w:rPr>
        <w:t>、股票期权、国债期货）、资产支持证券、货币市场工具（含同业存单、债券回购等）、银行存款以及法律法规或中国证监会允许基金投资的其他金融工具。本基金可根据法律法规的规定参与转融通证券出借业务。如法律法规或监管机构以后允许基金投资其他品种，基金管理人在履行适当程序后，可以将其纳入投资范围。</w:t>
      </w:r>
    </w:p>
    <w:p w14:paraId="095C6E5B" w14:textId="77777777" w:rsidR="005465E4" w:rsidRDefault="00EB5FF5">
      <w:pPr>
        <w:spacing w:line="360" w:lineRule="auto"/>
        <w:ind w:firstLine="420" w:firstLineChars="200"/>
        <w:rPr>
          <w:rFonts w:ascii="宋体" w:cs="Arial" w:hAnsi="宋体"/>
          <w:szCs w:val="21"/>
        </w:rPr>
      </w:pPr>
      <w:r>
        <w:rPr>
          <w:rFonts w:ascii="宋体" w:cs="Arial" w:hAnsi="宋体"/>
          <w:szCs w:val="21"/>
        </w:rPr>
        <w:t>基金的投资组合比例为：本基金投资于目标</w:t>
      </w:r>
      <w:r>
        <w:rPr>
          <w:rFonts w:ascii="宋体" w:cs="Arial" w:hAnsi="宋体"/>
          <w:szCs w:val="21"/>
        </w:rPr>
        <w:t>ETF</w:t>
      </w:r>
      <w:r>
        <w:rPr>
          <w:rFonts w:ascii="宋体" w:cs="Arial" w:hAnsi="宋体"/>
          <w:szCs w:val="21"/>
        </w:rPr>
        <w:t>的比例不低于基金资产净值的</w:t>
      </w:r>
      <w:r>
        <w:rPr>
          <w:rFonts w:ascii="宋体" w:cs="Arial" w:hAnsi="宋体"/>
          <w:szCs w:val="21"/>
        </w:rPr>
        <w:t>90%</w:t>
      </w:r>
      <w:r>
        <w:rPr>
          <w:rFonts w:ascii="宋体" w:cs="Arial" w:hAnsi="宋体"/>
          <w:szCs w:val="21"/>
        </w:rPr>
        <w:t>。每个交易日日终在扣除股指期货、国债期货、股票期权合约需缴纳的交易保证金后，保持不低于基金资产净值</w:t>
      </w:r>
      <w:r>
        <w:rPr>
          <w:rFonts w:ascii="宋体" w:cs="Arial" w:hAnsi="宋体"/>
          <w:szCs w:val="21"/>
        </w:rPr>
        <w:t>5%</w:t>
      </w:r>
      <w:r>
        <w:rPr>
          <w:rFonts w:ascii="宋体" w:cs="Arial" w:hAnsi="宋体"/>
          <w:szCs w:val="21"/>
        </w:rPr>
        <w:t>的现金或者到期日在</w:t>
      </w:r>
      <w:r>
        <w:rPr>
          <w:rFonts w:ascii="宋体" w:cs="Arial" w:hAnsi="宋体"/>
          <w:szCs w:val="21"/>
        </w:rPr>
        <w:t>1</w:t>
      </w:r>
      <w:r>
        <w:rPr>
          <w:rFonts w:ascii="宋体" w:cs="Arial" w:hAnsi="宋体"/>
          <w:szCs w:val="21"/>
        </w:rPr>
        <w:t>年以内的政府债券。其中，现金</w:t>
      </w:r>
      <w:r>
        <w:rPr>
          <w:rFonts w:ascii="宋体" w:cs="Arial" w:hAnsi="宋体"/>
          <w:szCs w:val="21"/>
        </w:rPr>
        <w:t>不包括结算备付金、存出保证金、应收申购款等。</w:t>
      </w:r>
    </w:p>
    <w:p w14:paraId="3A025E4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（二）基金托管人根据有关法律法规的规定及基金合同的约定，对基金投资、融资、融券比例进行监督。基金托管人按下述比例和调整期限进行监督：</w:t>
      </w:r>
    </w:p>
    <w:p w14:paraId="07E836CB"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w:t>
      </w:r>
      <w:r>
        <w:rPr>
          <w:rFonts w:ascii="宋体" w:cs="Arial" w:hAnsi="宋体"/>
          <w:szCs w:val="21"/>
        </w:rPr>
        <w:t>）本基金投资于目标</w:t>
      </w:r>
      <w:r>
        <w:rPr>
          <w:rFonts w:ascii="宋体" w:cs="Arial" w:hAnsi="宋体"/>
          <w:szCs w:val="21"/>
        </w:rPr>
        <w:t>ETF</w:t>
      </w:r>
      <w:r>
        <w:rPr>
          <w:rFonts w:ascii="宋体" w:cs="Arial" w:hAnsi="宋体"/>
          <w:szCs w:val="21"/>
        </w:rPr>
        <w:t>的比例不低于基金资产净值的</w:t>
      </w:r>
      <w:r>
        <w:rPr>
          <w:rFonts w:ascii="宋体" w:cs="Arial" w:hAnsi="宋体"/>
          <w:szCs w:val="21"/>
        </w:rPr>
        <w:t>90%</w:t>
      </w:r>
      <w:r>
        <w:rPr>
          <w:rFonts w:ascii="宋体" w:cs="Arial" w:hAnsi="宋体"/>
          <w:szCs w:val="21"/>
        </w:rPr>
        <w:t>。</w:t>
      </w:r>
    </w:p>
    <w:p w14:paraId="728AD186"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2</w:t>
      </w:r>
      <w:r>
        <w:rPr>
          <w:rFonts w:ascii="宋体" w:cs="Arial" w:hAnsi="宋体"/>
          <w:szCs w:val="21"/>
        </w:rPr>
        <w:t>）每个交易日日终在扣除股指期货、国债期货、股票期权合约需缴纳的交易保证金后，保持不低于基金资产净值</w:t>
      </w:r>
      <w:r>
        <w:rPr>
          <w:rFonts w:ascii="宋体" w:cs="Arial" w:hAnsi="宋体"/>
          <w:szCs w:val="21"/>
        </w:rPr>
        <w:t>5%</w:t>
      </w:r>
      <w:r>
        <w:rPr>
          <w:rFonts w:ascii="宋体" w:cs="Arial" w:hAnsi="宋体"/>
          <w:szCs w:val="21"/>
        </w:rPr>
        <w:t>的现金或者到期日在</w:t>
      </w:r>
      <w:r>
        <w:rPr>
          <w:rFonts w:ascii="宋体" w:cs="Arial" w:hAnsi="宋体"/>
          <w:szCs w:val="21"/>
        </w:rPr>
        <w:t>1</w:t>
      </w:r>
      <w:r>
        <w:rPr>
          <w:rFonts w:ascii="宋体" w:cs="Arial" w:hAnsi="宋体"/>
          <w:szCs w:val="21"/>
        </w:rPr>
        <w:t>年以内的政府债券。其中，现金不包括结算备付金、存出保证金、应收申购款等。</w:t>
      </w:r>
    </w:p>
    <w:p w14:paraId="52950255"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3</w:t>
      </w:r>
      <w:r>
        <w:rPr>
          <w:rFonts w:ascii="宋体" w:cs="Arial" w:hAnsi="宋体"/>
          <w:szCs w:val="21"/>
        </w:rPr>
        <w:t>）本基金投资于同一原始权益人的各类资产支持证券的比例，不得超过基</w:t>
      </w:r>
      <w:r>
        <w:rPr>
          <w:rFonts w:ascii="宋体" w:cs="Arial" w:hAnsi="宋体"/>
          <w:szCs w:val="21"/>
        </w:rPr>
        <w:t>金资产净值的</w:t>
      </w:r>
      <w:r>
        <w:rPr>
          <w:rFonts w:ascii="宋体" w:cs="Arial" w:hAnsi="宋体"/>
          <w:szCs w:val="21"/>
        </w:rPr>
        <w:t>10</w:t>
      </w:r>
      <w:r>
        <w:rPr>
          <w:rFonts w:ascii="宋体" w:cs="Arial" w:hAnsi="宋体"/>
          <w:szCs w:val="21"/>
        </w:rPr>
        <w:t>％；</w:t>
      </w:r>
    </w:p>
    <w:p w14:paraId="39874C13"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4</w:t>
      </w:r>
      <w:r>
        <w:rPr>
          <w:rFonts w:ascii="宋体" w:cs="Arial" w:hAnsi="宋体"/>
          <w:szCs w:val="21"/>
        </w:rPr>
        <w:t>）本基金持有的全部资产支持证券，其市值不得超过基金资产净值的</w:t>
      </w:r>
      <w:r>
        <w:rPr>
          <w:rFonts w:ascii="宋体" w:cs="Arial" w:hAnsi="宋体"/>
          <w:szCs w:val="21"/>
        </w:rPr>
        <w:t>20</w:t>
      </w:r>
      <w:r>
        <w:rPr>
          <w:rFonts w:ascii="宋体" w:cs="Arial" w:hAnsi="宋体"/>
          <w:szCs w:val="21"/>
        </w:rPr>
        <w:t>％；</w:t>
      </w:r>
    </w:p>
    <w:p w14:paraId="167E3C89"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5</w:t>
      </w:r>
      <w:r>
        <w:rPr>
          <w:rFonts w:ascii="宋体" w:cs="Arial" w:hAnsi="宋体"/>
          <w:szCs w:val="21"/>
        </w:rPr>
        <w:t>）本基金持有的同一</w:t>
      </w:r>
      <w:r>
        <w:rPr>
          <w:rFonts w:ascii="宋体" w:cs="Arial" w:hAnsi="宋体"/>
          <w:szCs w:val="21"/>
        </w:rPr>
        <w:t>(</w:t>
      </w:r>
      <w:r>
        <w:rPr>
          <w:rFonts w:ascii="宋体" w:cs="Arial" w:hAnsi="宋体"/>
          <w:szCs w:val="21"/>
        </w:rPr>
        <w:t>指同一信用级别</w:t>
      </w:r>
      <w:r>
        <w:rPr>
          <w:rFonts w:ascii="宋体" w:cs="Arial" w:hAnsi="宋体"/>
          <w:szCs w:val="21"/>
        </w:rPr>
        <w:t>)</w:t>
      </w:r>
      <w:r>
        <w:rPr>
          <w:rFonts w:ascii="宋体" w:cs="Arial" w:hAnsi="宋体"/>
          <w:szCs w:val="21"/>
        </w:rPr>
        <w:t>资产支持证券的比例，不得超过该资产支持证券规模的</w:t>
      </w:r>
      <w:r>
        <w:rPr>
          <w:rFonts w:ascii="宋体" w:cs="Arial" w:hAnsi="宋体"/>
          <w:szCs w:val="21"/>
        </w:rPr>
        <w:t>10</w:t>
      </w:r>
      <w:r>
        <w:rPr>
          <w:rFonts w:ascii="宋体" w:cs="Arial" w:hAnsi="宋体"/>
          <w:szCs w:val="21"/>
        </w:rPr>
        <w:t>％；</w:t>
      </w:r>
    </w:p>
    <w:p w14:paraId="03E52020"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6</w:t>
      </w:r>
      <w:r>
        <w:rPr>
          <w:rFonts w:ascii="宋体" w:cs="Arial" w:hAnsi="宋体"/>
          <w:szCs w:val="21"/>
        </w:rPr>
        <w:t>）本基金管理人管理</w:t>
      </w:r>
      <w:r>
        <w:rPr>
          <w:rFonts w:ascii="宋体" w:cs="Arial" w:hAnsi="宋体" w:hint="eastAsia"/>
          <w:szCs w:val="21"/>
        </w:rPr>
        <w:t>且由本基金托管人托管</w:t>
      </w:r>
      <w:r>
        <w:rPr>
          <w:rFonts w:ascii="宋体" w:cs="Arial" w:hAnsi="宋体"/>
          <w:szCs w:val="21"/>
        </w:rPr>
        <w:t>的全部基金投资于同一原始权益人的各类资产支持证券，不得超过其各类资产支持证券合计规模的</w:t>
      </w:r>
      <w:r>
        <w:rPr>
          <w:rFonts w:ascii="宋体" w:cs="Arial" w:hAnsi="宋体"/>
          <w:szCs w:val="21"/>
        </w:rPr>
        <w:t>10</w:t>
      </w:r>
      <w:r>
        <w:rPr>
          <w:rFonts w:ascii="宋体" w:cs="Arial" w:hAnsi="宋体"/>
          <w:szCs w:val="21"/>
        </w:rPr>
        <w:t>％；</w:t>
      </w:r>
    </w:p>
    <w:p w14:paraId="080E22A0"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7</w:t>
      </w:r>
      <w:r>
        <w:rPr>
          <w:rFonts w:ascii="宋体" w:cs="Arial" w:hAnsi="宋体"/>
          <w:szCs w:val="21"/>
        </w:rPr>
        <w:t>）本基金应投资于信用级别评级为</w:t>
      </w:r>
      <w:r>
        <w:rPr>
          <w:rFonts w:ascii="宋体" w:cs="Arial" w:hAnsi="宋体"/>
          <w:szCs w:val="21"/>
        </w:rPr>
        <w:t>BBB</w:t>
      </w:r>
      <w:r>
        <w:rPr>
          <w:rFonts w:ascii="宋体" w:cs="Arial" w:hAnsi="宋体"/>
          <w:szCs w:val="21"/>
        </w:rPr>
        <w:t>以上</w:t>
      </w:r>
      <w:r>
        <w:rPr>
          <w:rFonts w:ascii="宋体" w:cs="Arial" w:hAnsi="宋体"/>
          <w:szCs w:val="21"/>
        </w:rPr>
        <w:t>(</w:t>
      </w:r>
      <w:r>
        <w:rPr>
          <w:rFonts w:ascii="宋体" w:cs="Arial" w:hAnsi="宋体"/>
          <w:szCs w:val="21"/>
        </w:rPr>
        <w:t>含</w:t>
      </w:r>
      <w:r>
        <w:rPr>
          <w:rFonts w:ascii="宋体" w:cs="Arial" w:hAnsi="宋体"/>
          <w:szCs w:val="21"/>
        </w:rPr>
        <w:t>BBB)</w:t>
      </w:r>
      <w:r>
        <w:rPr>
          <w:rFonts w:ascii="宋体" w:cs="Arial" w:hAnsi="宋体"/>
          <w:szCs w:val="21"/>
        </w:rPr>
        <w:t>的资产支持证券。基金持有资产支持证券期间，如果其信用等级下降、不再符合投资标准，应在评级报告发布之日起</w:t>
      </w:r>
      <w:r>
        <w:rPr>
          <w:rFonts w:ascii="宋体" w:cs="Arial" w:hAnsi="宋体"/>
          <w:szCs w:val="21"/>
        </w:rPr>
        <w:t>3</w:t>
      </w:r>
      <w:r>
        <w:rPr>
          <w:rFonts w:ascii="宋体" w:cs="Arial" w:hAnsi="宋体"/>
          <w:szCs w:val="21"/>
        </w:rPr>
        <w:t>个月内予以全部卖出；</w:t>
      </w:r>
    </w:p>
    <w:p w14:paraId="2153140B"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8</w:t>
      </w:r>
      <w:r>
        <w:rPr>
          <w:rFonts w:ascii="宋体" w:cs="Arial" w:hAnsi="宋体"/>
          <w:szCs w:val="21"/>
        </w:rPr>
        <w:t>）基金财产参与股票发行申购，本基金所申报的金额不超过本基金的总资产，本基金所申报的股票数量不超过拟发行股票公司本次发行股票的总量；</w:t>
      </w:r>
    </w:p>
    <w:p w14:paraId="0B349B27"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9</w:t>
      </w:r>
      <w:r>
        <w:rPr>
          <w:rFonts w:ascii="宋体" w:cs="Arial" w:hAnsi="宋体"/>
          <w:szCs w:val="21"/>
        </w:rPr>
        <w:t>）本基金进入全国银行间同业市场进行债券回购的资金余额不得超过基金资产净值的</w:t>
      </w:r>
      <w:r>
        <w:rPr>
          <w:rFonts w:ascii="宋体" w:cs="Arial" w:hAnsi="宋体"/>
          <w:szCs w:val="21"/>
        </w:rPr>
        <w:t>40%</w:t>
      </w:r>
      <w:r>
        <w:rPr>
          <w:rFonts w:ascii="宋体" w:cs="Arial" w:hAnsi="宋体"/>
          <w:szCs w:val="21"/>
        </w:rPr>
        <w:t>，进入全国银行间同业市场进行债券回购的最长期限为</w:t>
      </w:r>
      <w:r>
        <w:rPr>
          <w:rFonts w:ascii="宋体" w:cs="Arial" w:hAnsi="宋体"/>
          <w:szCs w:val="21"/>
        </w:rPr>
        <w:t>1</w:t>
      </w:r>
      <w:r>
        <w:rPr>
          <w:rFonts w:ascii="宋体" w:cs="Arial" w:hAnsi="宋体"/>
          <w:szCs w:val="21"/>
        </w:rPr>
        <w:t>年，债券回购到期后不得展期；</w:t>
      </w:r>
    </w:p>
    <w:p w14:paraId="7C30E0A2"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10</w:t>
      </w:r>
      <w:r>
        <w:rPr>
          <w:rFonts w:ascii="宋体" w:cs="Arial" w:hAnsi="宋体"/>
          <w:szCs w:val="21"/>
        </w:rPr>
        <w:t>）本基金主动投资于流动性受限资产的市值合计不得超过本基金资产净值的</w:t>
      </w:r>
      <w:r>
        <w:rPr>
          <w:rFonts w:ascii="宋体" w:cs="Arial" w:hAnsi="宋体"/>
          <w:szCs w:val="21"/>
        </w:rPr>
        <w:t>15%</w:t>
      </w:r>
      <w:r>
        <w:rPr>
          <w:rFonts w:ascii="宋体" w:cs="Arial" w:hAnsi="宋体"/>
          <w:szCs w:val="21"/>
        </w:rPr>
        <w:t>；因证券市场波动、上市公司股票停牌、基金规模变动等基金管理人之外的因素致使基金不符合该比例限制的，基金管理人不得主动新增流动性受限资</w:t>
      </w:r>
      <w:r>
        <w:rPr>
          <w:rFonts w:ascii="宋体" w:cs="Arial" w:hAnsi="宋体"/>
          <w:szCs w:val="21"/>
        </w:rPr>
        <w:t>产的投资；</w:t>
      </w:r>
    </w:p>
    <w:p w14:paraId="7A26B344"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11</w:t>
      </w:r>
      <w:r>
        <w:rPr>
          <w:rFonts w:ascii="宋体" w:cs="Arial" w:hAnsi="宋体"/>
          <w:szCs w:val="21"/>
        </w:rPr>
        <w:t>）本基金与私募类证券资管产品及中国证监会认定的其他主体为交易对手开展逆回购交易的，可接受质押品的资质要求应当与本基金合同约定的投资范围保持一致；</w:t>
      </w:r>
    </w:p>
    <w:p w14:paraId="39B820D4"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12</w:t>
      </w:r>
      <w:r>
        <w:rPr>
          <w:rFonts w:ascii="宋体" w:cs="Arial" w:hAnsi="宋体"/>
          <w:szCs w:val="21"/>
        </w:rPr>
        <w:t>）本基金在任何交易日日终，持有的买入股指期货合约价值，不得超过基金资产净值的</w:t>
      </w:r>
      <w:r>
        <w:rPr>
          <w:rFonts w:ascii="宋体" w:cs="Arial" w:hAnsi="宋体"/>
          <w:szCs w:val="21"/>
        </w:rPr>
        <w:t>10%</w:t>
      </w:r>
      <w:r>
        <w:rPr>
          <w:rFonts w:ascii="宋体" w:cs="Arial" w:hAnsi="宋体"/>
          <w:szCs w:val="21"/>
        </w:rPr>
        <w:t>；在任何交易日日终，持有的卖出期货合约价值不得超过基金持有的股票总市值的</w:t>
      </w:r>
      <w:r>
        <w:rPr>
          <w:rFonts w:ascii="宋体" w:cs="Arial" w:hAnsi="宋体"/>
          <w:szCs w:val="21"/>
        </w:rPr>
        <w:t>20%</w:t>
      </w:r>
      <w:r>
        <w:rPr>
          <w:rFonts w:ascii="宋体" w:cs="Arial" w:hAnsi="宋体"/>
          <w:szCs w:val="21"/>
        </w:rPr>
        <w:t>，在任何交易日内交易（不包括平仓）的股指期货合约的成交金额不得超过上一交易日基金资产净值的</w:t>
      </w:r>
      <w:r>
        <w:rPr>
          <w:rFonts w:ascii="宋体" w:cs="Arial" w:hAnsi="宋体"/>
          <w:szCs w:val="21"/>
        </w:rPr>
        <w:t>20%</w:t>
      </w:r>
      <w:r>
        <w:rPr>
          <w:rFonts w:ascii="宋体" w:cs="Arial" w:hAnsi="宋体"/>
          <w:szCs w:val="21"/>
        </w:rPr>
        <w:t>；</w:t>
      </w:r>
    </w:p>
    <w:p w14:paraId="67D038DC"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13</w:t>
      </w:r>
      <w:r>
        <w:rPr>
          <w:rFonts w:ascii="宋体" w:cs="Arial" w:hAnsi="宋体"/>
          <w:szCs w:val="21"/>
        </w:rPr>
        <w:t>）基金在任何交易日日终，持有的买入国债期货合约价值，不得超过基金资产净值的</w:t>
      </w:r>
      <w:r>
        <w:rPr>
          <w:rFonts w:ascii="宋体" w:cs="Arial" w:hAnsi="宋体"/>
          <w:szCs w:val="21"/>
        </w:rPr>
        <w:t>1</w:t>
      </w:r>
      <w:r>
        <w:rPr>
          <w:rFonts w:ascii="宋体" w:cs="Arial" w:hAnsi="宋体"/>
          <w:szCs w:val="21"/>
        </w:rPr>
        <w:t>5%</w:t>
      </w:r>
      <w:r>
        <w:rPr>
          <w:rFonts w:ascii="宋体" w:cs="Arial" w:hAnsi="宋体"/>
          <w:szCs w:val="21"/>
        </w:rPr>
        <w:t>；基金在任何交易日日终，持有的卖出国债期货合约价值不得超过基金持有的债券总市值的</w:t>
      </w:r>
      <w:r>
        <w:rPr>
          <w:rFonts w:ascii="宋体" w:cs="Arial" w:hAnsi="宋体"/>
          <w:szCs w:val="21"/>
        </w:rPr>
        <w:t>30%</w:t>
      </w:r>
      <w:r>
        <w:rPr>
          <w:rFonts w:ascii="宋体" w:cs="Arial" w:hAnsi="宋体"/>
          <w:szCs w:val="21"/>
        </w:rPr>
        <w:t>；基金在任何交易日内交易（不包括平仓）的国债期货合约的成交金额不得超过上一交易日基金资产净值的</w:t>
      </w:r>
      <w:r>
        <w:rPr>
          <w:rFonts w:ascii="宋体" w:cs="Arial" w:hAnsi="宋体"/>
          <w:szCs w:val="21"/>
        </w:rPr>
        <w:t>30%</w:t>
      </w:r>
      <w:r>
        <w:rPr>
          <w:rFonts w:ascii="宋体" w:cs="Arial" w:hAnsi="宋体"/>
          <w:szCs w:val="21"/>
        </w:rPr>
        <w:t>；</w:t>
      </w:r>
    </w:p>
    <w:p w14:paraId="3A223394"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14</w:t>
      </w:r>
      <w:r>
        <w:rPr>
          <w:rFonts w:ascii="宋体" w:cs="Arial" w:hAnsi="宋体"/>
          <w:szCs w:val="21"/>
        </w:rPr>
        <w:t>）在任何交易日日终，持有的买入股指期货和国债期货合约价值与有价证券市值之和，不得超过基金资产净值的</w:t>
      </w:r>
      <w:r>
        <w:rPr>
          <w:rFonts w:ascii="宋体" w:cs="Arial" w:hAnsi="宋体"/>
          <w:szCs w:val="21"/>
        </w:rPr>
        <w:t>100%</w:t>
      </w:r>
      <w:r>
        <w:rPr>
          <w:rFonts w:ascii="宋体" w:cs="Arial" w:hAnsi="宋体"/>
          <w:szCs w:val="21"/>
        </w:rPr>
        <w:t>；其中，有价证券指股票、债券（不含到期日在一年以内的政府债券）、资产支持证券、买入返售金融资产（不含质押式回购）等；</w:t>
      </w:r>
    </w:p>
    <w:p w14:paraId="4D217E92"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15</w:t>
      </w:r>
      <w:r>
        <w:rPr>
          <w:rFonts w:ascii="宋体" w:cs="Arial" w:hAnsi="宋体"/>
          <w:szCs w:val="21"/>
        </w:rPr>
        <w:t>）基金因未平仓的期权合约支付和收取的权利金总额不得超过基金资产净值的</w:t>
      </w:r>
      <w:r>
        <w:rPr>
          <w:rFonts w:ascii="宋体" w:cs="Arial" w:hAnsi="宋体"/>
          <w:szCs w:val="21"/>
        </w:rPr>
        <w:t>10%</w:t>
      </w:r>
      <w:r>
        <w:rPr>
          <w:rFonts w:ascii="宋体" w:cs="Arial" w:hAnsi="宋体"/>
          <w:szCs w:val="21"/>
        </w:rPr>
        <w:t>；开仓卖</w:t>
      </w:r>
      <w:r>
        <w:rPr>
          <w:rFonts w:ascii="宋体" w:cs="Arial" w:hAnsi="宋体"/>
          <w:szCs w:val="21"/>
        </w:rPr>
        <w:t>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cs="Arial" w:hAnsi="宋体"/>
          <w:szCs w:val="21"/>
        </w:rPr>
        <w:t>20%</w:t>
      </w:r>
      <w:r>
        <w:rPr>
          <w:rFonts w:ascii="宋体" w:cs="Arial" w:hAnsi="宋体"/>
          <w:szCs w:val="21"/>
        </w:rPr>
        <w:t>。其中，合约面值按照行权价乘以合约乘数计算；</w:t>
      </w:r>
    </w:p>
    <w:p w14:paraId="19017DA9"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16</w:t>
      </w:r>
      <w:r>
        <w:rPr>
          <w:rFonts w:ascii="宋体" w:cs="Arial" w:hAnsi="宋体"/>
          <w:szCs w:val="21"/>
        </w:rPr>
        <w:t>）本基金资产总值不超过基金资产净值的</w:t>
      </w:r>
      <w:r>
        <w:rPr>
          <w:rFonts w:ascii="宋体" w:cs="Arial" w:hAnsi="宋体"/>
          <w:szCs w:val="21"/>
        </w:rPr>
        <w:t>140%</w:t>
      </w:r>
      <w:r>
        <w:rPr>
          <w:rFonts w:ascii="宋体" w:cs="Arial" w:hAnsi="宋体"/>
          <w:szCs w:val="21"/>
        </w:rPr>
        <w:t>；</w:t>
      </w:r>
    </w:p>
    <w:p w14:paraId="693E6EF8"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17</w:t>
      </w:r>
      <w:r>
        <w:rPr>
          <w:rFonts w:ascii="宋体" w:cs="Arial" w:hAnsi="宋体"/>
          <w:szCs w:val="21"/>
        </w:rPr>
        <w:t>）本基金参与转融通证券出借业务的，应当符合下列要求：</w:t>
      </w:r>
    </w:p>
    <w:p w14:paraId="1B34113D"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①</w:t>
      </w:r>
      <w:r>
        <w:rPr>
          <w:rFonts w:ascii="宋体" w:cs="Arial" w:hAnsi="宋体"/>
          <w:szCs w:val="21"/>
        </w:rPr>
        <w:t>出借证券资产不得超过基金资产净值的</w:t>
      </w:r>
      <w:r>
        <w:rPr>
          <w:rFonts w:ascii="宋体" w:cs="Arial" w:hAnsi="宋体"/>
          <w:szCs w:val="21"/>
        </w:rPr>
        <w:t>30%</w:t>
      </w:r>
      <w:r>
        <w:rPr>
          <w:rFonts w:ascii="宋体" w:cs="Arial" w:hAnsi="宋体"/>
          <w:szCs w:val="21"/>
        </w:rPr>
        <w:t>，出借期限在</w:t>
      </w:r>
      <w:r>
        <w:rPr>
          <w:rFonts w:ascii="宋体" w:cs="Arial" w:hAnsi="宋体"/>
          <w:szCs w:val="21"/>
        </w:rPr>
        <w:t>10  </w:t>
      </w:r>
      <w:r>
        <w:rPr>
          <w:rFonts w:ascii="宋体" w:cs="Arial" w:hAnsi="宋体"/>
          <w:szCs w:val="21"/>
        </w:rPr>
        <w:t>个交易日以上的出借证券应纳入《流动性风险管理规定》所述流动性受限证券的范围；</w:t>
      </w:r>
    </w:p>
    <w:p w14:paraId="37860F47"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②</w:t>
      </w:r>
      <w:r>
        <w:rPr>
          <w:rFonts w:ascii="宋体" w:cs="Arial" w:hAnsi="宋体"/>
          <w:szCs w:val="21"/>
        </w:rPr>
        <w:t>参与出借业务的单只证券不得超过基</w:t>
      </w:r>
      <w:r>
        <w:rPr>
          <w:rFonts w:ascii="宋体" w:cs="Arial" w:hAnsi="宋体"/>
          <w:szCs w:val="21"/>
        </w:rPr>
        <w:t>金持有该证券总量的</w:t>
      </w:r>
      <w:r>
        <w:rPr>
          <w:rFonts w:ascii="宋体" w:cs="Arial" w:hAnsi="宋体"/>
          <w:szCs w:val="21"/>
        </w:rPr>
        <w:t>50%</w:t>
      </w:r>
      <w:r>
        <w:rPr>
          <w:rFonts w:ascii="宋体" w:cs="Arial" w:hAnsi="宋体"/>
          <w:szCs w:val="21"/>
        </w:rPr>
        <w:t>；</w:t>
      </w:r>
    </w:p>
    <w:p w14:paraId="2D04E086"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③</w:t>
      </w:r>
      <w:r>
        <w:rPr>
          <w:rFonts w:ascii="宋体" w:cs="Arial" w:hAnsi="宋体"/>
          <w:szCs w:val="21"/>
        </w:rPr>
        <w:t>最近</w:t>
      </w:r>
      <w:r>
        <w:rPr>
          <w:rFonts w:ascii="宋体" w:cs="Arial" w:hAnsi="宋体"/>
          <w:szCs w:val="21"/>
        </w:rPr>
        <w:t>6</w:t>
      </w:r>
      <w:r>
        <w:rPr>
          <w:rFonts w:ascii="宋体" w:cs="Arial" w:hAnsi="宋体"/>
          <w:szCs w:val="21"/>
        </w:rPr>
        <w:t>个月内日均基金资产净值不得低于</w:t>
      </w:r>
      <w:r>
        <w:rPr>
          <w:rFonts w:ascii="宋体" w:cs="Arial" w:hAnsi="宋体"/>
          <w:szCs w:val="21"/>
        </w:rPr>
        <w:t>2</w:t>
      </w:r>
      <w:r>
        <w:rPr>
          <w:rFonts w:ascii="宋体" w:cs="Arial" w:hAnsi="宋体"/>
          <w:szCs w:val="21"/>
        </w:rPr>
        <w:t>亿元；</w:t>
      </w:r>
    </w:p>
    <w:p w14:paraId="2F264454"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④</w:t>
      </w:r>
      <w:r>
        <w:rPr>
          <w:rFonts w:ascii="宋体" w:cs="Arial" w:hAnsi="宋体"/>
          <w:szCs w:val="21"/>
        </w:rPr>
        <w:t>证券出借的平均剩余期限不得超过</w:t>
      </w:r>
      <w:r>
        <w:rPr>
          <w:rFonts w:ascii="宋体" w:cs="Arial" w:hAnsi="宋体"/>
          <w:szCs w:val="21"/>
        </w:rPr>
        <w:t>30 </w:t>
      </w:r>
      <w:r>
        <w:rPr>
          <w:rFonts w:ascii="宋体" w:cs="Arial" w:hAnsi="宋体"/>
          <w:szCs w:val="21"/>
        </w:rPr>
        <w:t>天，平均剩余期限按照市值加权平均计算；</w:t>
      </w:r>
    </w:p>
    <w:p w14:paraId="6A182793"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18</w:t>
      </w:r>
      <w:r>
        <w:rPr>
          <w:rFonts w:ascii="宋体" w:cs="Arial" w:hAnsi="宋体"/>
          <w:szCs w:val="21"/>
        </w:rPr>
        <w:t>）本基金投资存托凭证的比例限制依照境内上市交易的股票执行，与境内上市交易的股票合并计算；</w:t>
      </w:r>
    </w:p>
    <w:p w14:paraId="3BB3232C" w14:textId="77777777" w:rsidR="005465E4" w:rsidRDefault="00EB5FF5">
      <w:pPr>
        <w:spacing w:line="360" w:lineRule="auto"/>
        <w:ind w:firstLine="420" w:firstLineChars="200"/>
        <w:rPr>
          <w:rFonts w:ascii="宋体" w:cs="Arial" w:hAnsi="宋体"/>
          <w:szCs w:val="21"/>
        </w:rPr>
      </w:pPr>
      <w:r>
        <w:rPr>
          <w:rFonts w:ascii="宋体" w:cs="Arial" w:hAnsi="宋体"/>
          <w:szCs w:val="21"/>
        </w:rPr>
        <w:t>（</w:t>
      </w:r>
      <w:r>
        <w:rPr>
          <w:rFonts w:ascii="宋体" w:cs="Arial" w:hAnsi="宋体"/>
          <w:szCs w:val="21"/>
        </w:rPr>
        <w:t>19</w:t>
      </w:r>
      <w:r>
        <w:rPr>
          <w:rFonts w:ascii="宋体" w:cs="Arial" w:hAnsi="宋体"/>
          <w:szCs w:val="21"/>
        </w:rPr>
        <w:t>）法律法规及中国证监会规定的和《基金合同》约定的其他投资限制。</w:t>
      </w:r>
    </w:p>
    <w:p w14:paraId="6259109F" w14:textId="77777777" w:rsidR="005465E4" w:rsidRDefault="00EB5FF5">
      <w:pPr>
        <w:spacing w:line="360" w:lineRule="auto"/>
        <w:ind w:firstLine="420" w:firstLineChars="200"/>
        <w:rPr>
          <w:rFonts w:ascii="宋体" w:cs="Arial" w:hAnsi="宋体"/>
          <w:szCs w:val="21"/>
        </w:rPr>
      </w:pPr>
      <w:r>
        <w:rPr>
          <w:rFonts w:ascii="宋体" w:cs="Arial" w:hAnsi="宋体"/>
          <w:szCs w:val="21"/>
        </w:rPr>
        <w:t>除上述（</w:t>
      </w:r>
      <w:r>
        <w:rPr>
          <w:rFonts w:ascii="宋体" w:cs="Arial" w:hAnsi="宋体"/>
          <w:szCs w:val="21"/>
        </w:rPr>
        <w:t>2</w:t>
      </w:r>
      <w:r>
        <w:rPr>
          <w:rFonts w:ascii="宋体" w:cs="Arial" w:hAnsi="宋体"/>
          <w:szCs w:val="21"/>
        </w:rPr>
        <w:t>）、（</w:t>
      </w:r>
      <w:r>
        <w:rPr>
          <w:rFonts w:ascii="宋体" w:cs="Arial" w:hAnsi="宋体"/>
          <w:szCs w:val="21"/>
        </w:rPr>
        <w:t>7</w:t>
      </w:r>
      <w:r>
        <w:rPr>
          <w:rFonts w:ascii="宋体" w:cs="Arial" w:hAnsi="宋体"/>
          <w:szCs w:val="21"/>
        </w:rPr>
        <w:t>）、（</w:t>
      </w:r>
      <w:r>
        <w:rPr>
          <w:rFonts w:ascii="宋体" w:cs="Arial" w:hAnsi="宋体"/>
          <w:szCs w:val="21"/>
        </w:rPr>
        <w:t>10</w:t>
      </w:r>
      <w:r>
        <w:rPr>
          <w:rFonts w:ascii="宋体" w:cs="Arial" w:hAnsi="宋体"/>
          <w:szCs w:val="21"/>
        </w:rPr>
        <w:t>）、（</w:t>
      </w:r>
      <w:r>
        <w:rPr>
          <w:rFonts w:ascii="宋体" w:cs="Arial" w:hAnsi="宋体"/>
          <w:szCs w:val="21"/>
        </w:rPr>
        <w:t>11</w:t>
      </w:r>
      <w:r>
        <w:rPr>
          <w:rFonts w:ascii="宋体" w:cs="Arial" w:hAnsi="宋体"/>
          <w:szCs w:val="21"/>
        </w:rPr>
        <w:t>）、（</w:t>
      </w:r>
      <w:r>
        <w:rPr>
          <w:rFonts w:ascii="宋体" w:cs="Arial" w:hAnsi="宋体"/>
          <w:szCs w:val="21"/>
        </w:rPr>
        <w:t>17</w:t>
      </w:r>
      <w:r>
        <w:rPr>
          <w:rFonts w:ascii="宋体" w:cs="Arial" w:hAnsi="宋体"/>
          <w:szCs w:val="21"/>
        </w:rPr>
        <w:t>）情形之外，因证券</w:t>
      </w:r>
      <w:r>
        <w:rPr>
          <w:rFonts w:ascii="宋体" w:cs="Arial" w:hAnsi="宋体"/>
          <w:szCs w:val="21"/>
        </w:rPr>
        <w:t>/</w:t>
      </w:r>
      <w:r>
        <w:rPr>
          <w:rFonts w:ascii="宋体" w:cs="Arial" w:hAnsi="宋体"/>
          <w:szCs w:val="21"/>
        </w:rPr>
        <w:t>期货市场波动、证券发行人合并、基金规模变动、标的指数成份股调整、标的指数成份股流动性限制、目标</w:t>
      </w:r>
      <w:r>
        <w:rPr>
          <w:rFonts w:ascii="宋体" w:cs="Arial" w:hAnsi="宋体"/>
          <w:szCs w:val="21"/>
        </w:rPr>
        <w:t>ETF</w:t>
      </w:r>
      <w:r>
        <w:rPr>
          <w:rFonts w:ascii="宋体" w:cs="Arial" w:hAnsi="宋体"/>
          <w:szCs w:val="21"/>
        </w:rPr>
        <w:t>申购、赎回、交易被暂停或</w:t>
      </w:r>
      <w:r>
        <w:rPr>
          <w:rFonts w:ascii="宋体" w:cs="Arial" w:hAnsi="宋体"/>
          <w:szCs w:val="21"/>
        </w:rPr>
        <w:t>交收延迟等基金管理人之外的因素致使基金投资比例不符合上述规定投资比例的，基金管理人应当在</w:t>
      </w:r>
      <w:r>
        <w:rPr>
          <w:rFonts w:ascii="宋体" w:cs="Arial" w:hAnsi="宋体"/>
          <w:szCs w:val="21"/>
        </w:rPr>
        <w:t>10</w:t>
      </w:r>
      <w:r>
        <w:rPr>
          <w:rFonts w:ascii="宋体" w:cs="Arial" w:hAnsi="宋体"/>
          <w:szCs w:val="21"/>
        </w:rPr>
        <w:t>个交易日内进行调整，但中国证监会规定的特殊情形除外。因证券市场波动、上市公司合并、基金规模变动等基金管理人之外的因素致使基金投资不符合上述（</w:t>
      </w:r>
      <w:r>
        <w:rPr>
          <w:rFonts w:ascii="宋体" w:cs="Arial" w:hAnsi="宋体"/>
          <w:szCs w:val="21"/>
        </w:rPr>
        <w:t>17</w:t>
      </w:r>
      <w:r>
        <w:rPr>
          <w:rFonts w:ascii="宋体" w:cs="Arial" w:hAnsi="宋体"/>
          <w:szCs w:val="21"/>
        </w:rPr>
        <w:t>）规定的，基金管理人不得新增证券出借业务。</w:t>
      </w:r>
    </w:p>
    <w:p w14:paraId="0DDF821A" w14:textId="77777777" w:rsidR="005465E4" w:rsidRDefault="00EB5FF5">
      <w:pPr>
        <w:spacing w:line="360" w:lineRule="auto"/>
        <w:ind w:firstLine="420" w:firstLineChars="200"/>
        <w:rPr>
          <w:rFonts w:ascii="宋体" w:cs="Arial" w:hAnsi="宋体"/>
          <w:szCs w:val="21"/>
        </w:rPr>
      </w:pPr>
      <w:r>
        <w:rPr>
          <w:rFonts w:ascii="宋体" w:cs="Arial" w:hAnsi="宋体"/>
          <w:szCs w:val="21"/>
        </w:rPr>
        <w:t>基金管理人应当自基金合同生效之日起</w:t>
      </w:r>
      <w:r>
        <w:rPr>
          <w:rFonts w:ascii="宋体" w:cs="Arial" w:hAnsi="宋体"/>
          <w:szCs w:val="21"/>
        </w:rPr>
        <w:t>6</w:t>
      </w:r>
      <w:r>
        <w:rPr>
          <w:rFonts w:ascii="宋体" w:cs="Arial" w:hAnsi="宋体"/>
          <w:szCs w:val="21"/>
        </w:rPr>
        <w:t>个月内使基金的投资组合比例符合基金合同的有关约定。在上述期间内，本基金的投资范围、投资策略应当符合基金合同的约定。基金托管人对基金的投资的监督与检查自本基金合同生效之日起开始。</w:t>
      </w:r>
    </w:p>
    <w:p w14:paraId="528EC6DB"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侧袋机制实施期间，</w:t>
      </w:r>
      <w:r>
        <w:rPr>
          <w:rFonts w:ascii="宋体" w:cs="Arial" w:hAnsi="宋体" w:hint="eastAsia"/>
          <w:szCs w:val="21"/>
        </w:rPr>
        <w:t>本部分约定的投资组合比例、组合限制等约定仅适用于主袋账户。</w:t>
      </w:r>
    </w:p>
    <w:p w14:paraId="4A6FAE3A" w14:textId="77777777" w:rsidR="005465E4" w:rsidRDefault="00EB5FF5">
      <w:pPr>
        <w:spacing w:line="360" w:lineRule="auto"/>
        <w:ind w:firstLine="420" w:firstLineChars="200"/>
        <w:rPr>
          <w:rFonts w:ascii="宋体" w:cs="Arial" w:hAnsi="宋体"/>
          <w:szCs w:val="21"/>
        </w:rPr>
      </w:pPr>
      <w:r>
        <w:rPr>
          <w:rFonts w:ascii="宋体" w:cs="Arial" w:hAnsi="宋体"/>
          <w:szCs w:val="21"/>
        </w:rPr>
        <w:t>如果法律法规或监管部门对本基金合同约定投资组合比例限制进行变更的，以变更后的规定为准。法律法规或监管部门取消上述限制，如适用于本基金，基金管理人在履行适当程序后，则本基金投资不再受相关限制，自动遵守届时有效的法律法规或监管规定。</w:t>
      </w:r>
    </w:p>
    <w:p w14:paraId="397BCBC6"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（三）基金托管人根据有关法律法规的规定及基金合同的约定，对本托管协议第十五条第九款基金投资禁止行为进行监督。基金托管人通过事后监督方式对基金管理人基金投资禁止行为进行监督。</w:t>
      </w:r>
    </w:p>
    <w:p w14:paraId="5D454990" w14:textId="77777777" w:rsidR="005465E4" w:rsidRDefault="00EB5FF5">
      <w:pPr>
        <w:adjustRightInd w:val="0"/>
        <w:spacing w:line="360" w:lineRule="auto"/>
        <w:ind w:firstLine="420" w:firstLineChars="200"/>
        <w:rPr>
          <w:bCs/>
          <w:szCs w:val="21"/>
        </w:rPr>
      </w:pPr>
      <w:r>
        <w:rPr>
          <w:rFonts w:hint="eastAsia"/>
          <w:bCs/>
          <w:szCs w:val="21"/>
        </w:rPr>
        <w:t>基金管理人运用基金财产买卖基金管理人、基金托管人</w:t>
      </w:r>
      <w:r>
        <w:rPr>
          <w:rFonts w:hint="eastAsia"/>
          <w:bCs/>
          <w:szCs w:val="21"/>
        </w:rPr>
        <w:t>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w:t>
      </w:r>
      <w:r>
        <w:rPr>
          <w:bCs/>
          <w:szCs w:val="21"/>
        </w:rPr>
        <w:t>重大关联交易应提交基金管理人董事会审议，并经过三分之二以上的独立董事通过。基金管理人董事会应至少每半年对关联交易事项进行审查</w:t>
      </w:r>
      <w:r>
        <w:rPr>
          <w:rFonts w:hint="eastAsia"/>
          <w:bCs/>
          <w:szCs w:val="21"/>
        </w:rPr>
        <w:t>。</w:t>
      </w:r>
    </w:p>
    <w:p w14:paraId="462402F6" w14:textId="77777777" w:rsidR="005465E4" w:rsidRDefault="00EB5FF5">
      <w:pPr>
        <w:adjustRightInd w:val="0"/>
        <w:spacing w:line="360" w:lineRule="auto"/>
        <w:ind w:firstLine="420" w:firstLineChars="200"/>
        <w:rPr>
          <w:bCs/>
          <w:szCs w:val="21"/>
        </w:rPr>
      </w:pPr>
      <w:r>
        <w:rPr>
          <w:rFonts w:hint="eastAsia"/>
          <w:bCs/>
          <w:szCs w:val="21"/>
        </w:rPr>
        <w:t>如法律、行政法规或监管部门取消或变更上述禁止性规定，基金管理人在履行适当</w:t>
      </w:r>
      <w:r>
        <w:rPr>
          <w:rFonts w:hint="eastAsia"/>
          <w:bCs/>
          <w:szCs w:val="21"/>
        </w:rPr>
        <w:t>程序后，本基金可不受上述规定的限制或以变更后的规定为准。</w:t>
      </w:r>
    </w:p>
    <w:p w14:paraId="6E92758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w:t>
      </w:r>
      <w:r>
        <w:rPr>
          <w:rFonts w:ascii="宋体" w:cs="Arial" w:hAnsi="宋体" w:hint="eastAsia"/>
          <w:szCs w:val="21"/>
        </w:rPr>
        <w:t>结算方式进行更新，新名单确定前已与本次剔除的交易对手所进行但尚未结算的交易，仍应按照协议进行结算。如基金管理人根据市场情况需要临时调整银行间债券市场交易对手名单及结算方式的，应及时向基金托管人说明理由，协商解决。</w:t>
      </w:r>
    </w:p>
    <w:p w14:paraId="03B4886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color w:val="000000"/>
          <w:szCs w:val="21"/>
        </w:rPr>
        <w:t>基金管理人负责对交易对手的资信控制，按银行间债券市场的交易规则进行交易，并</w:t>
      </w:r>
      <w:r>
        <w:rPr>
          <w:rFonts w:ascii="宋体" w:hAnsi="宋体" w:hint="eastAsia"/>
          <w:szCs w:val="21"/>
        </w:rPr>
        <w:t>负责解决因交易对手不履行合同而造成的纠纷及损失，基金托管人不承担由此造成的任何法律责任及损失。若未履约的交易对手在基金托管人与基金管理人确定的时间前仍未承担违约责任及其他相关法律责任的，基金管理人应向相关交易对手追偿</w:t>
      </w:r>
      <w:r>
        <w:rPr>
          <w:rFonts w:ascii="宋体" w:cs="Arial" w:hAnsi="宋体" w:hint="eastAsia"/>
          <w:color w:val="000000"/>
          <w:szCs w:val="21"/>
        </w:rPr>
        <w:t>。如基金托管人事后发现基金管理人没有按照事先约定的交易对手或交易方式进行交易时，基金托管人应及时提醒基金管理人，基金托管人不承担由此造成的任何损失和责任。</w:t>
      </w:r>
    </w:p>
    <w:p w14:paraId="3FE28E2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（五）基金托管人根据有关法律法规的规定及基金合同的约定，对基金管理人投资流通受限证券进行监督。</w:t>
      </w:r>
    </w:p>
    <w:p w14:paraId="71740565" w14:textId="77777777" w:rsidR="005465E4" w:rsidRDefault="00EB5FF5">
      <w:pPr>
        <w:adjustRightInd w:val="0"/>
        <w:spacing w:line="360" w:lineRule="auto"/>
        <w:ind w:firstLine="420" w:firstLineChars="200"/>
        <w:rPr>
          <w:rFonts w:ascii="宋体" w:cs="Arial" w:hAnsi="宋体"/>
          <w:szCs w:val="21"/>
        </w:rPr>
      </w:pPr>
      <w:r>
        <w:rPr>
          <w:rFonts w:ascii="宋体" w:hAnsi="宋体" w:hint="eastAsia"/>
          <w:szCs w:val="21"/>
        </w:rPr>
        <w:t>基金管理人投资流通受限证券，应事先根据中国证监会相关规定，明确基金投资流通受限证券的比例，</w:t>
      </w:r>
      <w:r>
        <w:rPr>
          <w:rFonts w:ascii="宋体" w:cs="Arial" w:hAnsi="宋体" w:hint="eastAsia"/>
          <w:szCs w:val="21"/>
        </w:rPr>
        <w:t>制订严格的投资决策流程和风险控制制度，防范流动性风险、法律风险和操作风险等各种风险。基金托管人对基金管理人是否遵守相关制度、流动性风险处置预案以及相关投资额度和比例等的情</w:t>
      </w:r>
      <w:r>
        <w:rPr>
          <w:rFonts w:ascii="宋体" w:cs="Arial" w:hAnsi="宋体" w:hint="eastAsia"/>
          <w:szCs w:val="21"/>
        </w:rPr>
        <w:t>况进行监督。</w:t>
      </w:r>
      <w:r>
        <w:rPr>
          <w:rFonts w:ascii="宋体" w:hAnsi="宋体" w:hint="eastAsia"/>
          <w:szCs w:val="21"/>
        </w:rPr>
        <w:t>首次投资流通受限证券前，基金管理人应与基金托管人就流通受限证券投资签订风险控制补充协议。</w:t>
      </w:r>
    </w:p>
    <w:p w14:paraId="0AFFD95F" w14:textId="77777777" w:rsidR="005465E4" w:rsidRDefault="00EB5FF5">
      <w:pPr>
        <w:numPr>
          <w:ilvl w:val="0"/>
          <w:numId w:val="1"/>
        </w:numPr>
        <w:adjustRightInd w:val="0"/>
        <w:spacing w:line="360" w:lineRule="auto"/>
        <w:ind w:firstLine="420" w:firstLineChars="200" w:left="0"/>
        <w:rPr>
          <w:rFonts w:ascii="宋体" w:cs="Arial" w:hAnsi="宋体"/>
          <w:szCs w:val="21"/>
        </w:rPr>
      </w:pPr>
      <w:r>
        <w:rPr>
          <w:rFonts w:ascii="宋体" w:cs="Arial" w:hAnsi="宋体" w:hint="eastAsia"/>
          <w:szCs w:val="21"/>
        </w:rPr>
        <w:t>本基金投资的流通受限证券与上文所述的流动性受限资产并不完全一致，须为经中国证监会批准的在发行时明确一定期限锁定期的可交易证券，不包括由于发布重大消息或其他原因而临时停牌的证券、已发行未上市证券、回购交易中的质押券等流通受限证券。本基金不投资有锁定期但锁定期不明确的证券。</w:t>
      </w:r>
    </w:p>
    <w:p w14:paraId="1442D7B9" w14:textId="77777777" w:rsidR="005465E4" w:rsidRDefault="00EB5FF5">
      <w:pPr>
        <w:spacing w:line="360" w:lineRule="auto"/>
        <w:ind w:firstLine="420" w:firstLineChars="200"/>
        <w:rPr>
          <w:rFonts w:ascii="宋体" w:hAnsi="宋体"/>
          <w:szCs w:val="21"/>
        </w:rPr>
      </w:pPr>
      <w:r>
        <w:rPr>
          <w:rFonts w:ascii="宋体" w:cs="Arial" w:hAnsi="宋体" w:hint="eastAsia"/>
          <w:szCs w:val="21"/>
        </w:rPr>
        <w:t>本基金</w:t>
      </w:r>
      <w:r>
        <w:rPr>
          <w:rFonts w:ascii="宋体" w:hAnsi="宋体" w:hint="eastAsia"/>
          <w:szCs w:val="21"/>
        </w:rPr>
        <w:t>投资的</w:t>
      </w:r>
      <w:r>
        <w:rPr>
          <w:rFonts w:ascii="宋体" w:cs="Arial" w:hAnsi="宋体" w:hint="eastAsia"/>
          <w:szCs w:val="21"/>
        </w:rPr>
        <w:t>流通</w:t>
      </w:r>
      <w:r>
        <w:rPr>
          <w:rFonts w:ascii="宋体" w:hAnsi="宋体" w:hint="eastAsia"/>
          <w:szCs w:val="21"/>
        </w:rPr>
        <w:t>受限证券限于可由中国证券登记结算有限责任公司或中央国债登记结算有限责任公司、银行间清算所股份有限公司负责登记和存管，并可在证券交易所或全国银行间债券市场交易的证券。</w:t>
      </w:r>
    </w:p>
    <w:p w14:paraId="635A8F40" w14:textId="77777777" w:rsidR="005465E4" w:rsidRDefault="00EB5FF5">
      <w:pPr>
        <w:adjustRightInd w:val="0"/>
        <w:spacing w:line="360" w:lineRule="auto"/>
        <w:ind w:firstLine="420" w:firstLineChars="200"/>
        <w:rPr>
          <w:rFonts w:ascii="宋体" w:hAnsi="宋体"/>
          <w:szCs w:val="21"/>
        </w:rPr>
      </w:pPr>
      <w:r>
        <w:rPr>
          <w:rFonts w:ascii="宋体" w:cs="Arial" w:hAnsi="宋体" w:hint="eastAsia"/>
          <w:szCs w:val="21"/>
        </w:rPr>
        <w:t>本基金</w:t>
      </w:r>
      <w:r>
        <w:rPr>
          <w:rFonts w:ascii="宋体" w:hAnsi="宋体" w:hint="eastAsia"/>
          <w:szCs w:val="21"/>
        </w:rPr>
        <w:t>投资的</w:t>
      </w:r>
      <w:r>
        <w:rPr>
          <w:rFonts w:ascii="宋体" w:cs="Arial" w:hAnsi="宋体" w:hint="eastAsia"/>
          <w:szCs w:val="21"/>
        </w:rPr>
        <w:t>流通</w:t>
      </w:r>
      <w:r>
        <w:rPr>
          <w:rFonts w:ascii="宋体" w:hAnsi="宋体" w:hint="eastAsia"/>
          <w:szCs w:val="21"/>
        </w:rPr>
        <w:t>受限证券应保证登记存管在本基金名下，基金管理人负责相关工作的落实和协调，并确保基金托管人能够正常查询。因基金管理人原因产生的</w:t>
      </w:r>
      <w:r>
        <w:rPr>
          <w:rFonts w:ascii="宋体" w:cs="Arial" w:hAnsi="宋体" w:hint="eastAsia"/>
          <w:szCs w:val="21"/>
        </w:rPr>
        <w:t>流通</w:t>
      </w:r>
      <w:r>
        <w:rPr>
          <w:rFonts w:ascii="宋体" w:hAnsi="宋体" w:hint="eastAsia"/>
          <w:szCs w:val="21"/>
        </w:rPr>
        <w:t>受限证券登记存管问题，造成基金托管人无法安全保管本基金资产的责任与损失，及因</w:t>
      </w:r>
      <w:r>
        <w:rPr>
          <w:rFonts w:ascii="宋体" w:cs="Arial" w:hAnsi="宋体" w:hint="eastAsia"/>
          <w:szCs w:val="21"/>
        </w:rPr>
        <w:t>流通</w:t>
      </w:r>
      <w:r>
        <w:rPr>
          <w:rFonts w:ascii="宋体" w:hAnsi="宋体" w:hint="eastAsia"/>
          <w:szCs w:val="21"/>
        </w:rPr>
        <w:t>受限证券存管直接影响本基金安全的责任及损失，由基金管理人承担。</w:t>
      </w:r>
    </w:p>
    <w:p w14:paraId="24366930" w14:textId="77777777" w:rsidR="005465E4" w:rsidRDefault="00EB5FF5">
      <w:pPr>
        <w:numPr>
          <w:ilvl w:val="0"/>
          <w:numId w:val="1"/>
        </w:numPr>
        <w:adjustRightInd w:val="0"/>
        <w:spacing w:line="360" w:lineRule="auto"/>
        <w:ind w:firstLine="420" w:firstLineChars="200" w:left="0"/>
        <w:rPr>
          <w:rFonts w:ascii="宋体" w:hAnsi="宋体"/>
          <w:szCs w:val="21"/>
        </w:rPr>
      </w:pPr>
      <w:r>
        <w:rPr>
          <w:rFonts w:ascii="宋体" w:hAnsi="宋体" w:hint="eastAsia"/>
          <w:szCs w:val="21"/>
        </w:rPr>
        <w:t>基金管理人对本基金投资</w:t>
      </w:r>
      <w:r>
        <w:rPr>
          <w:rFonts w:ascii="宋体" w:cs="Arial" w:hAnsi="宋体" w:hint="eastAsia"/>
          <w:szCs w:val="21"/>
        </w:rPr>
        <w:t>流通</w:t>
      </w:r>
      <w:r>
        <w:rPr>
          <w:rFonts w:ascii="宋体" w:hAnsi="宋体" w:hint="eastAsia"/>
          <w:szCs w:val="21"/>
        </w:rPr>
        <w:t>受限证券的流动性风险负责，确保对</w:t>
      </w:r>
      <w:r>
        <w:rPr>
          <w:rFonts w:ascii="宋体" w:hAnsi="宋体" w:hint="eastAsia"/>
          <w:szCs w:val="21"/>
        </w:rPr>
        <w:t>相关风险采取积极有效的措施，在合理的时间内有效解决基金运作的流动性问题。如因基金巨额赎回或市场发生剧烈变动等原因而导致基金现金周转困难时，基金管理人应保证提供足额现金确保基金的支付结算。对本基金因投资</w:t>
      </w:r>
      <w:r>
        <w:rPr>
          <w:rFonts w:ascii="宋体" w:cs="Arial" w:hAnsi="宋体" w:hint="eastAsia"/>
          <w:szCs w:val="21"/>
        </w:rPr>
        <w:t>流通</w:t>
      </w:r>
      <w:r>
        <w:rPr>
          <w:rFonts w:ascii="宋体" w:hAnsi="宋体" w:hint="eastAsia"/>
          <w:szCs w:val="21"/>
        </w:rPr>
        <w:t>受限证券导致的流动性风险，基金托管人不承担任何责任。如因基金管理人违反基金合同或预先确定的投资流通受限证券的比例导致本基金出现损失致使基金托管人承担连带赔偿责任的，基金管理人应赔偿基金托管人由此遭受的损失。</w:t>
      </w:r>
    </w:p>
    <w:p w14:paraId="566E0F3B" w14:textId="77777777" w:rsidR="005465E4" w:rsidRDefault="00EB5FF5">
      <w:pPr>
        <w:numPr>
          <w:ilvl w:val="0"/>
          <w:numId w:val="1"/>
        </w:numPr>
        <w:adjustRightInd w:val="0"/>
        <w:spacing w:line="360" w:lineRule="auto"/>
        <w:ind w:firstLine="420" w:firstLineChars="200" w:left="0"/>
        <w:rPr>
          <w:rFonts w:ascii="宋体" w:hAnsi="宋体"/>
          <w:szCs w:val="21"/>
        </w:rPr>
      </w:pPr>
      <w:r>
        <w:rPr>
          <w:rFonts w:ascii="宋体" w:hAnsi="宋体" w:hint="eastAsia"/>
          <w:szCs w:val="21"/>
        </w:rPr>
        <w:t>本基金有关投资</w:t>
      </w:r>
      <w:r>
        <w:rPr>
          <w:rFonts w:ascii="宋体" w:cs="Arial" w:hAnsi="宋体" w:hint="eastAsia"/>
          <w:szCs w:val="21"/>
        </w:rPr>
        <w:t>流通</w:t>
      </w:r>
      <w:r>
        <w:rPr>
          <w:rFonts w:ascii="宋体" w:hAnsi="宋体" w:hint="eastAsia"/>
          <w:szCs w:val="21"/>
        </w:rPr>
        <w:t>受限证券比例如违反有关限制规定，在合理期限内未能进行及时调整，基金管理人应在两日内</w:t>
      </w:r>
      <w:r>
        <w:rPr>
          <w:rFonts w:ascii="宋体" w:hAnsi="宋体" w:hint="eastAsia"/>
          <w:szCs w:val="21"/>
        </w:rPr>
        <w:t>编制临时报告书，予以公告。</w:t>
      </w:r>
    </w:p>
    <w:p w14:paraId="574B3E7F" w14:textId="77777777" w:rsidR="005465E4" w:rsidRDefault="00EB5FF5">
      <w:pPr>
        <w:numPr>
          <w:ilvl w:val="0"/>
          <w:numId w:val="1"/>
        </w:numPr>
        <w:adjustRightInd w:val="0"/>
        <w:spacing w:line="360" w:lineRule="auto"/>
        <w:ind w:firstLine="420" w:firstLineChars="200" w:left="0"/>
        <w:rPr>
          <w:rFonts w:ascii="宋体" w:cs="Arial" w:hAnsi="宋体"/>
          <w:szCs w:val="21"/>
        </w:rPr>
      </w:pPr>
      <w:r>
        <w:rPr>
          <w:rFonts w:ascii="宋体" w:cs="Arial" w:hAnsi="宋体" w:hint="eastAsia"/>
          <w:szCs w:val="21"/>
        </w:rPr>
        <w:t>基金托管人根据有关规定有权对基金管理人进行以下事项监督：</w:t>
      </w:r>
    </w:p>
    <w:p w14:paraId="7CA975D6" w14:textId="77777777" w:rsidR="005465E4" w:rsidRDefault="00EB5FF5">
      <w:pPr>
        <w:numPr>
          <w:ilvl w:val="0"/>
          <w:numId w:val="2"/>
        </w:numPr>
        <w:spacing w:line="360" w:lineRule="auto"/>
        <w:ind w:firstLine="420" w:firstLineChars="200" w:left="0"/>
        <w:rPr>
          <w:rFonts w:ascii="宋体" w:hAnsi="宋体"/>
          <w:szCs w:val="21"/>
        </w:rPr>
      </w:pPr>
      <w:r>
        <w:rPr>
          <w:rFonts w:ascii="宋体" w:hAnsi="宋体" w:hint="eastAsia"/>
          <w:szCs w:val="21"/>
        </w:rPr>
        <w:t>本基金投资</w:t>
      </w:r>
      <w:r>
        <w:rPr>
          <w:rFonts w:ascii="宋体" w:cs="Arial" w:hAnsi="宋体" w:hint="eastAsia"/>
          <w:szCs w:val="21"/>
        </w:rPr>
        <w:t>流通</w:t>
      </w:r>
      <w:r>
        <w:rPr>
          <w:rFonts w:ascii="宋体" w:hAnsi="宋体" w:hint="eastAsia"/>
          <w:szCs w:val="21"/>
        </w:rPr>
        <w:t>受限证券时的法律法规遵守情况。</w:t>
      </w:r>
    </w:p>
    <w:p w14:paraId="0C1A7B92" w14:textId="77777777" w:rsidR="005465E4" w:rsidRDefault="00EB5FF5">
      <w:pPr>
        <w:numPr>
          <w:ilvl w:val="0"/>
          <w:numId w:val="2"/>
        </w:numPr>
        <w:spacing w:line="360" w:lineRule="auto"/>
        <w:ind w:firstLine="420" w:firstLineChars="200" w:left="0"/>
        <w:rPr>
          <w:rFonts w:ascii="宋体" w:hAnsi="宋体"/>
          <w:szCs w:val="21"/>
        </w:rPr>
      </w:pPr>
      <w:r>
        <w:rPr>
          <w:rFonts w:ascii="宋体" w:hAnsi="宋体" w:hint="eastAsia"/>
          <w:szCs w:val="21"/>
        </w:rPr>
        <w:t>在基金投资</w:t>
      </w:r>
      <w:r>
        <w:rPr>
          <w:rFonts w:ascii="宋体" w:cs="Arial" w:hAnsi="宋体" w:hint="eastAsia"/>
          <w:szCs w:val="21"/>
        </w:rPr>
        <w:t>流通</w:t>
      </w:r>
      <w:r>
        <w:rPr>
          <w:rFonts w:ascii="宋体" w:hAnsi="宋体" w:hint="eastAsia"/>
          <w:szCs w:val="21"/>
        </w:rPr>
        <w:t>受限证券管理工作方面有关制度、流动性风险处置预案的建立与完善情况。</w:t>
      </w:r>
    </w:p>
    <w:p w14:paraId="6F034802" w14:textId="77777777" w:rsidR="005465E4" w:rsidRDefault="00EB5FF5">
      <w:pPr>
        <w:numPr>
          <w:ilvl w:val="0"/>
          <w:numId w:val="2"/>
        </w:numPr>
        <w:spacing w:line="360" w:lineRule="auto"/>
        <w:ind w:firstLine="420" w:firstLineChars="200" w:left="0"/>
        <w:rPr>
          <w:rFonts w:ascii="宋体" w:hAnsi="宋体"/>
          <w:szCs w:val="21"/>
        </w:rPr>
      </w:pPr>
      <w:r>
        <w:rPr>
          <w:rFonts w:ascii="宋体" w:hAnsi="宋体" w:hint="eastAsia"/>
          <w:szCs w:val="21"/>
        </w:rPr>
        <w:t>有关比例限制的执行情况。</w:t>
      </w:r>
    </w:p>
    <w:p w14:paraId="6BEE68DD" w14:textId="77777777" w:rsidR="005465E4" w:rsidRDefault="00EB5FF5">
      <w:pPr>
        <w:numPr>
          <w:ilvl w:val="0"/>
          <w:numId w:val="2"/>
        </w:numPr>
        <w:spacing w:line="360" w:lineRule="auto"/>
        <w:ind w:firstLine="420" w:firstLineChars="200" w:left="0"/>
        <w:rPr>
          <w:rFonts w:ascii="宋体" w:hAnsi="宋体"/>
          <w:szCs w:val="21"/>
        </w:rPr>
      </w:pPr>
      <w:r>
        <w:rPr>
          <w:rFonts w:ascii="宋体" w:hAnsi="宋体" w:hint="eastAsia"/>
          <w:szCs w:val="21"/>
        </w:rPr>
        <w:t>信息披露情况。</w:t>
      </w:r>
    </w:p>
    <w:p w14:paraId="3439D51B" w14:textId="77777777" w:rsidR="005465E4" w:rsidRDefault="00EB5FF5">
      <w:pPr>
        <w:numPr>
          <w:ilvl w:val="0"/>
          <w:numId w:val="1"/>
        </w:numPr>
        <w:adjustRightInd w:val="0"/>
        <w:spacing w:line="360" w:lineRule="auto"/>
        <w:ind w:firstLine="420" w:firstLineChars="200" w:left="0"/>
        <w:rPr>
          <w:rFonts w:ascii="宋体" w:cs="Arial" w:hAnsi="宋体"/>
          <w:szCs w:val="21"/>
        </w:rPr>
      </w:pPr>
      <w:r>
        <w:rPr>
          <w:rFonts w:ascii="宋体" w:cs="Arial" w:hAnsi="宋体" w:hint="eastAsia"/>
          <w:szCs w:val="21"/>
        </w:rPr>
        <w:t>相关法律法规对基金投资流通受限证券有新规定的，从其规定。</w:t>
      </w:r>
    </w:p>
    <w:p w14:paraId="29B1392A" w14:textId="77777777" w:rsidR="005465E4" w:rsidRDefault="00EB5FF5">
      <w:pPr>
        <w:numPr>
          <w:ilvl w:val="0"/>
          <w:numId w:val="3"/>
        </w:numPr>
        <w:adjustRightInd w:val="0"/>
        <w:spacing w:line="360" w:lineRule="auto"/>
        <w:ind w:firstLine="420" w:firstLineChars="200"/>
        <w:rPr>
          <w:rFonts w:ascii="宋体" w:cs="Arial" w:hAnsi="宋体"/>
          <w:szCs w:val="21"/>
        </w:rPr>
      </w:pPr>
      <w:r>
        <w:rPr>
          <w:rFonts w:ascii="宋体" w:cs="Arial" w:hAnsi="宋体" w:hint="eastAsia"/>
          <w:szCs w:val="21"/>
        </w:rPr>
        <w:t>基金管理人应当对投资中期票据业务进行研究，认真评估中期票据投资业务的风险，本着审慎、勤勉尽责的原则进行中期票据的投资业务。基金管理人根据法律、法规、监管部门的规定，制定了经公司董事会批准的基金投资中</w:t>
      </w:r>
      <w:r>
        <w:rPr>
          <w:rFonts w:ascii="宋体" w:cs="Arial" w:hAnsi="宋体" w:hint="eastAsia"/>
          <w:szCs w:val="21"/>
        </w:rPr>
        <w:t>期票据相关制度</w:t>
      </w:r>
      <w:r>
        <w:rPr>
          <w:rFonts w:ascii="宋体" w:cs="Arial" w:hAnsi="宋体" w:hint="eastAsia"/>
          <w:szCs w:val="21"/>
        </w:rPr>
        <w:t>(</w:t>
      </w:r>
      <w:r>
        <w:rPr>
          <w:rFonts w:ascii="宋体" w:cs="Arial" w:hAnsi="宋体" w:hint="eastAsia"/>
          <w:szCs w:val="21"/>
        </w:rPr>
        <w:t>以下简称“《制度》”</w:t>
      </w:r>
      <w:r>
        <w:rPr>
          <w:rFonts w:ascii="宋体" w:cs="Arial" w:hAnsi="宋体" w:hint="eastAsia"/>
          <w:szCs w:val="21"/>
        </w:rPr>
        <w:t>)</w:t>
      </w:r>
      <w:r>
        <w:rPr>
          <w:rFonts w:ascii="宋体" w:cs="Arial" w:hAnsi="宋体" w:hint="eastAsia"/>
          <w:szCs w:val="21"/>
        </w:rPr>
        <w:t>，以规范对中期票据的投资决策流程、风险控制。基金管理人《制度》的内容与本协议不一致的，以本协议的约定为准。</w:t>
      </w:r>
    </w:p>
    <w:p w14:paraId="0EEAB74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七）基金如投资银行存款，基金托管人根据有关法律法规的规定及基金合同的约定，对基金投资银行存款的交易对手范围是否符合有关规定进行监督；基金管理人在签署银行存款协议前，应将草拟的银行存款协议送基金托管人审核。</w:t>
      </w:r>
    </w:p>
    <w:p w14:paraId="5D851EE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（八）基金参与转融通证券出借业务，基金管理人应当遵守审慎经营原则，配备技术系统和专业人员，制定科学合理的投资策略和风险管理制度，完善业务流程，有效防范和控制风</w:t>
      </w:r>
      <w:r>
        <w:rPr>
          <w:rFonts w:ascii="宋体" w:cs="Arial" w:hAnsi="宋体" w:hint="eastAsia"/>
          <w:szCs w:val="21"/>
        </w:rPr>
        <w:t>险，基金托管人将对基金参与出借业务进行监督和复核。</w:t>
      </w:r>
    </w:p>
    <w:p w14:paraId="56FEE858" w14:textId="77777777" w:rsidR="005465E4" w:rsidRDefault="00EB5FF5">
      <w:pPr>
        <w:adjustRightInd w:val="0"/>
        <w:spacing w:line="360" w:lineRule="auto"/>
        <w:ind w:firstLine="420" w:firstLineChars="200"/>
        <w:rPr>
          <w:rFonts w:ascii="宋体" w:hAnsi="宋体"/>
          <w:szCs w:val="21"/>
        </w:rPr>
      </w:pPr>
      <w:r>
        <w:rPr>
          <w:rFonts w:ascii="宋体" w:cs="Arial" w:hAnsi="宋体" w:hint="eastAsia"/>
          <w:szCs w:val="21"/>
        </w:rPr>
        <w:t>（九）基金托管人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14:paraId="0C2457C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基金托管人发现基金管理人的上述事项及投资指令或实际投资运作违反法律法规、基金合同和本托管协议的规定，应及时以电话提醒或书面提示等方式通知基金管理人限期纠正，并及时向中国证监会报告。基金管理人应积极配合和协助基金托管人的监督和核查。基金管</w:t>
      </w:r>
      <w:r>
        <w:rPr>
          <w:rFonts w:ascii="宋体" w:cs="Arial" w:hAnsi="宋体" w:hint="eastAsia"/>
          <w:szCs w:val="21"/>
        </w:rPr>
        <w:t>理人收到书面通知后应在下一工作日及时核对并以书面形式给基金托管人发出回函，就基金托管人的疑义进行解释或举证，说明违规原因及纠正期限，并保证在规定期限内及时改正。基金管理人应指定专人接收托管人的通知和提示。在上述规定期限内，基金托管人有权随时对通知事项进行复查，督促基金管理人改正。基金管理人对基金托管人通知的违规事项未能在限期内纠正的，基金托管人应报告中国证监会。</w:t>
      </w:r>
    </w:p>
    <w:p w14:paraId="6949398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（十一）基金管理人有义务配合和协助基金托管人依照法律法规、基金合同和本托管协议对基金业务执行核查。对基金托管人发出的书面提示，基金管理人应在规定时</w:t>
      </w:r>
      <w:r>
        <w:rPr>
          <w:rFonts w:ascii="宋体" w:cs="Arial" w:hAnsi="宋体" w:hint="eastAsia"/>
          <w:szCs w:val="21"/>
        </w:rPr>
        <w:t>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3930B2A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二）若基金托管人发现基金管理人依据交易程序已经生效的指令违反法律、行政法规和其他有关规定，或者违反基金合同约定的，应当立即通知基金管理人，由此造成的损失由基金管理人承担，并及时向中国证监会报告。</w:t>
      </w:r>
    </w:p>
    <w:p w14:paraId="1C429CD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三）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14:paraId="4288AF3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（十四）基金托管人应当依照法律法规和基金合同约定，加强对侧袋机制启用、特定资产处置和信息披露等方面的复核和监督。</w:t>
      </w:r>
    </w:p>
    <w:p w14:paraId="10B69E2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当基金持有特定资产且存在或潜在大额赎回申请时，根据最大限度保护基金份额持有人利益的原则，基</w:t>
      </w:r>
      <w:r>
        <w:rPr>
          <w:rFonts w:ascii="宋体" w:cs="Arial" w:hAnsi="宋体" w:hint="eastAsia"/>
          <w:szCs w:val="21"/>
        </w:rPr>
        <w:t>金管理人经与基金托管人协商一致，并咨询会计师事务所意见后，可以依照法律法规及基金合同的约定启用侧袋机制。</w:t>
      </w:r>
    </w:p>
    <w:p w14:paraId="48DE41D1" w14:textId="77777777" w:rsidR="005465E4" w:rsidRDefault="00EB5FF5">
      <w:pPr>
        <w:widowControl/>
        <w:ind w:firstLine="420" w:firstLineChars="200"/>
        <w:jc w:val="left"/>
        <w:rPr>
          <w:rFonts w:ascii="宋体" w:hAnsi="宋体"/>
          <w:b/>
          <w:bCs/>
          <w:kern w:val="44"/>
          <w:szCs w:val="21"/>
        </w:rPr>
      </w:pPr>
      <w:bookmarkStart w:id="41" w:name="_Toc295833000"/>
      <w:bookmarkStart w:id="42" w:name="_Toc295832940"/>
      <w:bookmarkStart w:id="43" w:name="_Toc295832633"/>
      <w:bookmarkStart w:id="44" w:name="_Toc295833671"/>
      <w:bookmarkStart w:id="45" w:name="_Toc118212950"/>
      <w:bookmarkStart w:id="46" w:name="_Toc270669855"/>
      <w:bookmarkStart w:id="47" w:name="_Toc108512358"/>
      <w:bookmarkStart w:id="48" w:name="_Toc89163368"/>
      <w:bookmarkStart w:id="49" w:name="_Toc86223242"/>
      <w:bookmarkStart w:id="50" w:name="_Toc86727355"/>
      <w:bookmarkStart w:id="51" w:name="_Toc86737929"/>
      <w:bookmarkStart w:id="52" w:name="_Toc86649722"/>
      <w:bookmarkStart w:id="53" w:name="_Toc86726439"/>
      <w:bookmarkStart w:id="54" w:name="_Toc86225291"/>
      <w:bookmarkStart w:id="55" w:name="_Toc124325888"/>
      <w:bookmarkStart w:id="56" w:name="_Toc118972648"/>
      <w:bookmarkStart w:id="57" w:name="_Toc110765660"/>
      <w:bookmarkStart w:id="58" w:name="_Toc119402710"/>
      <w:bookmarkStart w:id="59" w:name="_Toc66879682"/>
      <w:bookmarkStart w:id="60" w:name="_Toc118774803"/>
      <w:bookmarkStart w:id="61" w:name="_Toc110830492"/>
      <w:bookmarkStart w:id="62" w:name="_Toc120435783"/>
      <w:bookmarkStart w:id="63" w:name="_Toc110761796"/>
      <w:bookmarkEnd w:id="41"/>
      <w:bookmarkEnd w:id="42"/>
      <w:bookmarkEnd w:id="43"/>
      <w:bookmarkEnd w:id="44"/>
      <w:r>
        <w:rPr>
          <w:rFonts w:ascii="宋体" w:hAnsi="宋体"/>
          <w:szCs w:val="21"/>
        </w:rPr>
        <w:br w:type="page"/>
      </w:r>
    </w:p>
    <w:p w14:paraId="118FCE3D"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hAnsi="宋体" w:hint="eastAsia"/>
          <w:sz w:val="21"/>
          <w:szCs w:val="21"/>
        </w:rPr>
        <w:t>四、基金管理人对基金托管人的业务核查</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54E7AF6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管理人对基金托管人履行托管职责情况进行核查，核查事项包括基金托管人安全保管基金财产、开设基金财产的资金账户、证券账户等投资所需账户、复核基金管理人计算的基金资产净值、基金份额净值、根据基金管理人指令办理清算交收、相关信息披露和监督基金投资运作等行为。</w:t>
      </w:r>
    </w:p>
    <w:p w14:paraId="574214C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w:t>
      </w:r>
      <w:r>
        <w:rPr>
          <w:rFonts w:ascii="宋体" w:cs="Arial" w:hAnsi="宋体" w:hint="eastAsia"/>
          <w:szCs w:val="21"/>
        </w:rPr>
        <w:t>核查托管财产的完整性和真实性，在规定时间内答复基金管理人并改正。</w:t>
      </w:r>
    </w:p>
    <w:p w14:paraId="1D24263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查托管财产的完整性和真实性。</w:t>
      </w:r>
    </w:p>
    <w:p w14:paraId="0EDB7CA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（四）基金管理人发现基金托管人有重大违规行为，应及时报告中国证监会，同时通知基金托管人限期纠正，并将纠正结果报告中国证监会。基金托管人无正当理由，拒绝、阻挠对</w:t>
      </w:r>
      <w:r>
        <w:rPr>
          <w:rFonts w:ascii="宋体" w:cs="Arial" w:hAnsi="宋体" w:hint="eastAsia"/>
          <w:szCs w:val="21"/>
        </w:rPr>
        <w:t>方根据本协议规定行使监督权，或采取拖延、欺诈等手段妨碍对方进行有效监督，情节严重或经基金管理人提出警告仍不改正的，基金管理人应报告中国证监会。</w:t>
      </w:r>
    </w:p>
    <w:p w14:paraId="1549D6A2"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hAnsi="宋体"/>
          <w:sz w:val="21"/>
          <w:szCs w:val="21"/>
        </w:rPr>
        <w:br w:type="page"/>
      </w:r>
      <w:bookmarkStart w:id="64" w:name="_Toc295833673"/>
      <w:bookmarkStart w:id="65" w:name="_Toc295833002"/>
      <w:bookmarkStart w:id="66" w:name="_Toc295832942"/>
      <w:bookmarkStart w:id="67" w:name="_Toc295832635"/>
      <w:bookmarkStart w:id="68" w:name="_Toc86225292"/>
      <w:bookmarkStart w:id="69" w:name="_Toc84133786"/>
      <w:bookmarkStart w:id="70" w:name="_Toc84234388"/>
      <w:bookmarkStart w:id="71" w:name="_Toc84234435"/>
      <w:bookmarkStart w:id="72" w:name="_Toc86204789"/>
      <w:bookmarkStart w:id="73" w:name="_Toc86223243"/>
      <w:bookmarkStart w:id="74" w:name="_Toc270669856"/>
      <w:bookmarkStart w:id="75" w:name="_Toc86649723"/>
      <w:bookmarkStart w:id="76" w:name="_Toc86727356"/>
      <w:bookmarkStart w:id="77" w:name="_Toc86726440"/>
      <w:bookmarkStart w:id="78" w:name="_Toc86737930"/>
      <w:bookmarkStart w:id="79" w:name="_Toc110761797"/>
      <w:bookmarkStart w:id="80" w:name="_Toc110830493"/>
      <w:bookmarkStart w:id="81" w:name="_Toc118212951"/>
      <w:bookmarkStart w:id="82" w:name="_Toc118972649"/>
      <w:bookmarkStart w:id="83" w:name="_Toc108512359"/>
      <w:bookmarkStart w:id="84" w:name="_Toc110765661"/>
      <w:bookmarkStart w:id="85" w:name="_Toc119402711"/>
      <w:bookmarkStart w:id="86" w:name="_Toc124325889"/>
      <w:bookmarkStart w:id="87" w:name="_Toc66879683"/>
      <w:bookmarkStart w:id="88" w:name="_Toc120435784"/>
      <w:bookmarkStart w:id="89" w:name="_Toc118774804"/>
      <w:bookmarkStart w:id="90" w:name="_Toc89163369"/>
      <w:bookmarkEnd w:id="64"/>
      <w:bookmarkEnd w:id="65"/>
      <w:bookmarkEnd w:id="66"/>
      <w:bookmarkEnd w:id="67"/>
      <w:r>
        <w:rPr>
          <w:rFonts w:ascii="宋体" w:hAnsi="宋体" w:hint="eastAsia"/>
          <w:sz w:val="21"/>
          <w:szCs w:val="21"/>
        </w:rPr>
        <w:t>五、基金财产的保管</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4CBBAEA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（一）基金财产保管的原则</w:t>
      </w:r>
    </w:p>
    <w:p w14:paraId="572870DF"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基金财产应独立于基金管理人、基金托管人的固有财产。基金财产的债权、不得与基金管理人、基金托管人固有财产的债务相抵销，不同基金财产的债权债务，不得相互抵销。基金管理人、基金托管人以其自有资产承担法律责任，其债权人不得对基金财产行使请求冻结、扣押和其他权利。</w:t>
      </w:r>
    </w:p>
    <w:p w14:paraId="457EEEEE"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基金管理人、基金托管人因依法解散、被依法撤销或者被依法宣告破产等</w:t>
      </w:r>
      <w:r>
        <w:rPr>
          <w:rFonts w:ascii="宋体" w:cs="Arial" w:hAnsi="宋体" w:hint="eastAsia"/>
          <w:szCs w:val="21"/>
        </w:rPr>
        <w:t>原因进行清算的，基金财产不属于其清算财产。</w:t>
      </w:r>
    </w:p>
    <w:p w14:paraId="31A10B16"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基金托管人应安全保管基金财产。未经基金管理人依据合法程序作出的合法合规指令，基金托管人不得自行运用、处分、分配基金的任何财产。非因基金财产本身承担的债务，不得对基金财产强制执行。</w:t>
      </w:r>
    </w:p>
    <w:p w14:paraId="0A3310AE"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基金托管人按照规定开设基金财产的资金账户、证券账户等投资需要的账户。</w:t>
      </w:r>
    </w:p>
    <w:p w14:paraId="641393D6"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基金托管人对所托管的不同基金财产分别设置账户，独立核算，分账管理，确保基金财产的完整与独立。</w:t>
      </w:r>
    </w:p>
    <w:p w14:paraId="5E1B7486"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基金托管人根据基金管理人的指令，按照基金合同和本协议的约定保管基金财产，如有特殊情况双方可另行协商解决。</w:t>
      </w:r>
    </w:p>
    <w:p w14:paraId="5E521537"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对于因为基金投资产</w:t>
      </w:r>
      <w:r>
        <w:rPr>
          <w:rFonts w:ascii="宋体" w:cs="Arial" w:hAnsi="宋体" w:hint="eastAsia"/>
          <w:szCs w:val="21"/>
        </w:rPr>
        <w:t>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14:paraId="0E04C556" w14:textId="77777777" w:rsidR="005465E4" w:rsidRDefault="00EB5FF5">
      <w:pPr>
        <w:numPr>
          <w:ilvl w:val="1"/>
          <w:numId w:val="4"/>
        </w:numPr>
        <w:tabs>
          <w:tab w:pos="840" w:val="clear"/>
          <w:tab w:pos="567" w:val="left"/>
        </w:tabs>
        <w:adjustRightInd w:val="0"/>
        <w:spacing w:line="360" w:lineRule="auto"/>
        <w:ind w:firstLine="420" w:firstLineChars="200" w:left="0"/>
        <w:rPr>
          <w:rFonts w:ascii="宋体" w:cs="Arial" w:hAnsi="宋体"/>
          <w:szCs w:val="21"/>
        </w:rPr>
      </w:pPr>
      <w:r>
        <w:rPr>
          <w:rFonts w:ascii="宋体" w:cs="Arial" w:hAnsi="宋体" w:hint="eastAsia"/>
          <w:szCs w:val="21"/>
        </w:rPr>
        <w:t>除依据法律法规和基金合同的规定外，基金托管人不得委托第三人托管基金财产。</w:t>
      </w:r>
    </w:p>
    <w:p w14:paraId="68132C5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（二）基金募集期间及募集资金的验资</w:t>
      </w:r>
    </w:p>
    <w:p w14:paraId="4299C77F" w14:textId="77777777" w:rsidR="005465E4" w:rsidRDefault="00EB5FF5">
      <w:pPr>
        <w:numPr>
          <w:ilvl w:val="0"/>
          <w:numId w:val="5"/>
        </w:numPr>
        <w:adjustRightInd w:val="0"/>
        <w:spacing w:line="360" w:lineRule="auto"/>
        <w:ind w:firstLine="420" w:firstLineChars="200" w:left="0"/>
        <w:rPr>
          <w:rFonts w:ascii="宋体" w:cs="Arial" w:hAnsi="宋体"/>
          <w:szCs w:val="21"/>
        </w:rPr>
      </w:pPr>
      <w:r>
        <w:rPr>
          <w:rFonts w:ascii="宋体" w:cs="Arial" w:hAnsi="宋体" w:hint="eastAsia"/>
          <w:szCs w:val="21"/>
        </w:rPr>
        <w:t>基金募集期间应开立“基金募集专户”，用于存放募集的资金。该账户由基金管理人开立。</w:t>
      </w:r>
    </w:p>
    <w:p w14:paraId="20873991" w14:textId="77777777" w:rsidR="005465E4" w:rsidRDefault="00EB5FF5">
      <w:pPr>
        <w:numPr>
          <w:ilvl w:val="0"/>
          <w:numId w:val="5"/>
        </w:numPr>
        <w:adjustRightInd w:val="0"/>
        <w:spacing w:line="360" w:lineRule="auto"/>
        <w:ind w:firstLine="420" w:firstLineChars="200" w:left="0"/>
        <w:rPr>
          <w:rFonts w:ascii="宋体" w:cs="Arial" w:hAnsi="宋体"/>
          <w:szCs w:val="21"/>
        </w:rPr>
      </w:pPr>
      <w:r>
        <w:rPr>
          <w:rFonts w:ascii="宋体" w:cs="Arial" w:hAnsi="宋体" w:hint="eastAsia"/>
          <w:szCs w:val="21"/>
        </w:rPr>
        <w:t>基金募集期满或基金停止募集时，募集的基金份额总额、基金募集金额、基金份额持有人人数符合《基金法》、《运作办法》等有关规定后，基金管理人应将属于基金财产的全部资金划入基金托管人为本基金开立的基金银行账户，同时在规定时间内，聘请符合《证券法》规定的会计师事务所进行验资，出具验资报告。出具的验资报告由参加验资的</w:t>
      </w:r>
      <w:r>
        <w:rPr>
          <w:rFonts w:ascii="宋体" w:cs="Arial" w:hAnsi="宋体" w:hint="eastAsia"/>
          <w:szCs w:val="21"/>
        </w:rPr>
        <w:t>2</w:t>
      </w:r>
      <w:r>
        <w:rPr>
          <w:rFonts w:ascii="宋体" w:cs="Arial" w:hAnsi="宋体" w:hint="eastAsia"/>
          <w:szCs w:val="21"/>
        </w:rPr>
        <w:t>名或</w:t>
      </w:r>
      <w:r>
        <w:rPr>
          <w:rFonts w:ascii="宋体" w:cs="Arial" w:hAnsi="宋体" w:hint="eastAsia"/>
          <w:szCs w:val="21"/>
        </w:rPr>
        <w:t>2</w:t>
      </w:r>
      <w:r>
        <w:rPr>
          <w:rFonts w:ascii="宋体" w:cs="Arial" w:hAnsi="宋体" w:hint="eastAsia"/>
          <w:szCs w:val="21"/>
        </w:rPr>
        <w:t>名以上中国注册会计师签字并加盖会计师事务所公章方为有效。</w:t>
      </w:r>
    </w:p>
    <w:p w14:paraId="7EB82EC3" w14:textId="77777777" w:rsidR="005465E4" w:rsidRDefault="00EB5FF5">
      <w:pPr>
        <w:numPr>
          <w:ilvl w:val="0"/>
          <w:numId w:val="5"/>
        </w:numPr>
        <w:adjustRightInd w:val="0"/>
        <w:spacing w:line="360" w:lineRule="auto"/>
        <w:ind w:firstLine="420" w:firstLineChars="200" w:left="0"/>
        <w:rPr>
          <w:rFonts w:ascii="宋体" w:cs="Arial" w:hAnsi="宋体"/>
          <w:szCs w:val="21"/>
        </w:rPr>
      </w:pPr>
      <w:r>
        <w:rPr>
          <w:rFonts w:ascii="宋体" w:cs="Arial" w:hAnsi="宋体" w:hint="eastAsia"/>
          <w:szCs w:val="21"/>
        </w:rPr>
        <w:t>若基金募集期限届满</w:t>
      </w:r>
      <w:r>
        <w:rPr>
          <w:rFonts w:hint="eastAsia"/>
          <w:szCs w:val="21"/>
        </w:rPr>
        <w:t>或基金停止募集时</w:t>
      </w:r>
      <w:r>
        <w:rPr>
          <w:rFonts w:ascii="宋体" w:cs="Arial" w:hAnsi="宋体" w:hint="eastAsia"/>
          <w:szCs w:val="21"/>
        </w:rPr>
        <w:t>，未能达到基金合同生效的条件，由基金管理人按规定办理退款等事宜，基金托管人应提供充分协助。</w:t>
      </w:r>
    </w:p>
    <w:p w14:paraId="7AE6ECC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（三）基金银行</w:t>
      </w:r>
      <w:r>
        <w:rPr>
          <w:rFonts w:ascii="宋体" w:cs="Arial" w:hAnsi="宋体" w:hint="eastAsia"/>
          <w:szCs w:val="21"/>
        </w:rPr>
        <w:t>账户的开立和管理</w:t>
      </w:r>
    </w:p>
    <w:p w14:paraId="08170EA0" w14:textId="77777777" w:rsidR="005465E4" w:rsidRDefault="00EB5FF5">
      <w:pPr>
        <w:numPr>
          <w:ilvl w:val="0"/>
          <w:numId w:val="6"/>
        </w:numPr>
        <w:adjustRightInd w:val="0"/>
        <w:spacing w:line="360" w:lineRule="auto"/>
        <w:ind w:firstLine="420" w:firstLineChars="200" w:left="0"/>
        <w:rPr>
          <w:rFonts w:ascii="宋体" w:cs="Arial" w:hAnsi="宋体"/>
          <w:szCs w:val="21"/>
        </w:rPr>
      </w:pPr>
      <w:r>
        <w:rPr>
          <w:rFonts w:ascii="宋体" w:cs="Arial" w:hAnsi="宋体" w:hint="eastAsia"/>
          <w:szCs w:val="21"/>
        </w:rPr>
        <w:t>基金托管人应负责本基金的银行账户的开设和管理。</w:t>
      </w:r>
    </w:p>
    <w:p w14:paraId="7798D2BC" w14:textId="77777777" w:rsidR="005465E4" w:rsidRDefault="00EB5FF5">
      <w:pPr>
        <w:numPr>
          <w:ilvl w:val="0"/>
          <w:numId w:val="6"/>
        </w:numPr>
        <w:adjustRightInd w:val="0"/>
        <w:spacing w:line="360" w:lineRule="auto"/>
        <w:ind w:firstLine="420" w:firstLineChars="200" w:left="0"/>
        <w:rPr>
          <w:rFonts w:ascii="宋体" w:cs="Arial" w:hAnsi="宋体"/>
          <w:szCs w:val="21"/>
        </w:rPr>
      </w:pPr>
      <w:r>
        <w:rPr>
          <w:rFonts w:ascii="宋体" w:cs="Arial" w:hAnsi="宋体" w:hint="eastAsia"/>
          <w:szCs w:val="21"/>
        </w:rPr>
        <w:t>基金托管人应以本基金名义在其营业机构开立基金的银行账户，并根据基金管理人合法合规的指令办理资金收付。账户名称、账户预留印鉴以基金管理人向基金托管人出具的开户委托文件为准，基金托管人负责账户预留印鉴的保管和使用。该账户为不可提现账户。</w:t>
      </w:r>
    </w:p>
    <w:p w14:paraId="3CD9627E" w14:textId="77777777" w:rsidR="005465E4" w:rsidRDefault="00EB5FF5">
      <w:pPr>
        <w:numPr>
          <w:ilvl w:val="0"/>
          <w:numId w:val="6"/>
        </w:numPr>
        <w:adjustRightInd w:val="0"/>
        <w:spacing w:line="360" w:lineRule="auto"/>
        <w:ind w:firstLine="420" w:firstLineChars="200" w:left="0"/>
        <w:rPr>
          <w:rFonts w:ascii="宋体" w:cs="Arial" w:hAnsi="宋体"/>
          <w:szCs w:val="21"/>
        </w:rPr>
      </w:pPr>
      <w:r>
        <w:rPr>
          <w:rFonts w:ascii="宋体" w:cs="Arial" w:hAnsi="宋体" w:hint="eastAsia"/>
          <w:szCs w:val="21"/>
        </w:rPr>
        <w:t>基金银行账户的开立和使用，限于满足开展本基金业务的需要。基金托管人和基金管理人不得假借本基金的名义开立任何其他银行账户；亦不得使用基金的任何账户进行本基金业务以外的活动。</w:t>
      </w:r>
    </w:p>
    <w:p w14:paraId="7AA460B3" w14:textId="77777777" w:rsidR="005465E4" w:rsidRDefault="00EB5FF5">
      <w:pPr>
        <w:numPr>
          <w:ilvl w:val="0"/>
          <w:numId w:val="6"/>
        </w:numPr>
        <w:adjustRightInd w:val="0"/>
        <w:spacing w:line="360" w:lineRule="auto"/>
        <w:ind w:firstLine="420" w:firstLineChars="200" w:left="0"/>
        <w:rPr>
          <w:rFonts w:ascii="宋体" w:cs="Arial" w:hAnsi="宋体"/>
          <w:szCs w:val="21"/>
        </w:rPr>
      </w:pPr>
      <w:r>
        <w:rPr>
          <w:rFonts w:ascii="宋体" w:cs="Arial" w:hAnsi="宋体" w:hint="eastAsia"/>
          <w:szCs w:val="21"/>
        </w:rPr>
        <w:t>基金银行账户的开立和管理应符合银行保险监</w:t>
      </w:r>
      <w:r>
        <w:rPr>
          <w:rFonts w:ascii="宋体" w:cs="Arial" w:hAnsi="宋体" w:hint="eastAsia"/>
          <w:szCs w:val="21"/>
        </w:rPr>
        <w:t>督管理机构的有关规定。</w:t>
      </w:r>
    </w:p>
    <w:p w14:paraId="0F1EA692" w14:textId="77777777" w:rsidR="005465E4" w:rsidRDefault="00EB5FF5">
      <w:pPr>
        <w:numPr>
          <w:ilvl w:val="0"/>
          <w:numId w:val="6"/>
        </w:numPr>
        <w:adjustRightInd w:val="0"/>
        <w:spacing w:line="360" w:lineRule="auto"/>
        <w:ind w:firstLine="420" w:firstLineChars="200" w:left="0"/>
        <w:rPr>
          <w:rFonts w:ascii="宋体" w:cs="Arial" w:hAnsi="宋体"/>
          <w:szCs w:val="21"/>
        </w:rPr>
      </w:pPr>
      <w:r>
        <w:rPr>
          <w:rFonts w:ascii="宋体" w:cs="Arial" w:hAnsi="宋体" w:hint="eastAsia"/>
          <w:szCs w:val="21"/>
        </w:rPr>
        <w:t>在符合法律法规规定的条件下，基金托管人可以通过基金托管人专用账户办理基金资产的支付。</w:t>
      </w:r>
    </w:p>
    <w:p w14:paraId="25E8E61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（四）基金证券账户和结算备付金账户的开立和管理</w:t>
      </w:r>
    </w:p>
    <w:p w14:paraId="72D0AD6A" w14:textId="77777777" w:rsidR="005465E4" w:rsidRDefault="00EB5FF5">
      <w:pPr>
        <w:numPr>
          <w:ilvl w:val="0"/>
          <w:numId w:val="7"/>
        </w:numPr>
        <w:adjustRightInd w:val="0"/>
        <w:spacing w:line="360" w:lineRule="auto"/>
        <w:ind w:firstLine="420" w:firstLineChars="200" w:left="0"/>
        <w:rPr>
          <w:rFonts w:ascii="宋体" w:cs="Arial" w:hAnsi="宋体"/>
          <w:szCs w:val="21"/>
        </w:rPr>
      </w:pPr>
      <w:r>
        <w:rPr>
          <w:rFonts w:ascii="宋体" w:cs="Arial" w:hAnsi="宋体" w:hint="eastAsia"/>
          <w:szCs w:val="21"/>
        </w:rPr>
        <w:t>基金托管人在中国证券登记结算有限责任公司上海分公司、深圳分公司为本基金开立基金托管人与本基金联名的证券账户。</w:t>
      </w:r>
    </w:p>
    <w:p w14:paraId="4A99B544" w14:textId="77777777" w:rsidR="005465E4" w:rsidRDefault="00EB5FF5">
      <w:pPr>
        <w:numPr>
          <w:ilvl w:val="0"/>
          <w:numId w:val="7"/>
        </w:numPr>
        <w:adjustRightInd w:val="0"/>
        <w:spacing w:line="360" w:lineRule="auto"/>
        <w:ind w:firstLine="420" w:firstLineChars="200" w:left="0"/>
        <w:rPr>
          <w:rFonts w:ascii="宋体" w:cs="Arial" w:hAnsi="宋体"/>
          <w:szCs w:val="21"/>
        </w:rPr>
      </w:pPr>
      <w:r>
        <w:rPr>
          <w:rFonts w:ascii="宋体" w:cs="Arial" w:hAnsi="宋体" w:hint="eastAsia"/>
          <w:szCs w:val="21"/>
        </w:rPr>
        <w:t>基金证券账户的开立和使用，仅限于满足开展本基金业务的需要。基金托管人和基金管理人不得出借或未经对方书面同意擅自转让基金的任何证券账户，亦不得使用基金的任何账户进行本基金业务以外的活动。</w:t>
      </w:r>
    </w:p>
    <w:p w14:paraId="05CBD1FD" w14:textId="77777777" w:rsidR="005465E4" w:rsidRDefault="00EB5FF5">
      <w:pPr>
        <w:numPr>
          <w:ilvl w:val="0"/>
          <w:numId w:val="7"/>
        </w:numPr>
        <w:adjustRightInd w:val="0"/>
        <w:spacing w:line="360" w:lineRule="auto"/>
        <w:ind w:firstLine="420" w:firstLineChars="200" w:left="0"/>
        <w:rPr>
          <w:rFonts w:ascii="宋体" w:cs="Arial" w:hAnsi="宋体"/>
          <w:szCs w:val="21"/>
        </w:rPr>
      </w:pPr>
      <w:r>
        <w:rPr>
          <w:rFonts w:ascii="宋体" w:cs="Arial" w:hAnsi="宋体" w:hint="eastAsia"/>
          <w:szCs w:val="21"/>
        </w:rPr>
        <w:t>基金证券账户的开立由基金托管人负责，账户资产的管理和运用由</w:t>
      </w:r>
      <w:r>
        <w:rPr>
          <w:rFonts w:ascii="宋体" w:cs="Arial" w:hAnsi="宋体" w:hint="eastAsia"/>
          <w:szCs w:val="21"/>
        </w:rPr>
        <w:t>基金管理人负责。</w:t>
      </w:r>
    </w:p>
    <w:p w14:paraId="77439A0B" w14:textId="77777777" w:rsidR="005465E4" w:rsidRDefault="00EB5FF5">
      <w:pPr>
        <w:numPr>
          <w:ilvl w:val="0"/>
          <w:numId w:val="7"/>
        </w:numPr>
        <w:adjustRightInd w:val="0"/>
        <w:spacing w:line="360" w:lineRule="auto"/>
        <w:ind w:firstLine="420" w:firstLineChars="200" w:left="0"/>
        <w:rPr>
          <w:rFonts w:ascii="宋体" w:cs="Arial" w:hAnsi="宋体"/>
          <w:szCs w:val="21"/>
        </w:rPr>
      </w:pPr>
      <w:r>
        <w:rPr>
          <w:rFonts w:ascii="宋体" w:cs="Arial" w:hAnsi="宋体" w:hint="eastAsia"/>
          <w:szCs w:val="21"/>
        </w:rPr>
        <w:t>基金托管人以自身法人名义在中国证券登记结算有限责任公司开立结算备付金账户，并代表所托管的基金完成与中国证券登记结算有限责任公司的一级法人清算工作，基金管理人应予以积极协助。结算备付金、证券结算保证金等的收取按照中国证券登记结算有限责任公司的规定执行。</w:t>
      </w:r>
    </w:p>
    <w:p w14:paraId="77798E9B" w14:textId="77777777" w:rsidR="005465E4" w:rsidRDefault="00EB5FF5">
      <w:pPr>
        <w:numPr>
          <w:ilvl w:val="0"/>
          <w:numId w:val="7"/>
        </w:numPr>
        <w:adjustRightInd w:val="0"/>
        <w:spacing w:line="360" w:lineRule="auto"/>
        <w:ind w:firstLine="420" w:firstLineChars="200" w:left="0"/>
        <w:rPr>
          <w:rFonts w:ascii="宋体" w:cs="Arial" w:hAnsi="宋体"/>
          <w:szCs w:val="21"/>
        </w:rPr>
      </w:pPr>
      <w:r>
        <w:rPr>
          <w:rFonts w:ascii="宋体" w:cs="Arial" w:hAnsi="宋体" w:hint="eastAsia"/>
          <w:szCs w:val="21"/>
        </w:rPr>
        <w:t>若中国证监会或其他监管机构在本托管协议订立日之后允许基金从事其他投资品种的投资业务，涉及相关账户的开立、使用的，若无相关规定，则基金托管人比照上述关于账户开立、使用的规定执行。</w:t>
      </w:r>
    </w:p>
    <w:p w14:paraId="0D60BED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（五）债券托管账户的开设和管理</w:t>
      </w:r>
    </w:p>
    <w:p w14:paraId="5385A1D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基金合同生效后，基金管理人按照中</w:t>
      </w:r>
      <w:r>
        <w:rPr>
          <w:rFonts w:ascii="宋体" w:cs="Arial" w:hAnsi="宋体" w:hint="eastAsia"/>
          <w:szCs w:val="21"/>
        </w:rPr>
        <w:t>国人民银行有关规定，代产品向中国人民银行申请银行间债券市场准入备案，获得备案通知后，基金管理人按要求准备开户资料，递交基金托管人，由基金托管人根据中国人民银行、中央国债登记结算有限责任公司、</w:t>
      </w:r>
      <w:r>
        <w:rPr>
          <w:rFonts w:ascii="宋体" w:hAnsi="宋体" w:hint="eastAsia"/>
          <w:szCs w:val="21"/>
        </w:rPr>
        <w:t>银行间市场清算所股份有限公司</w:t>
      </w:r>
      <w:r>
        <w:rPr>
          <w:rFonts w:ascii="宋体" w:cs="Arial" w:hAnsi="宋体" w:hint="eastAsia"/>
          <w:szCs w:val="21"/>
        </w:rPr>
        <w:t>的有关规定，在中央国债登记结算有限责任公司</w:t>
      </w:r>
      <w:r>
        <w:rPr>
          <w:rFonts w:ascii="宋体" w:hAnsi="宋体" w:hint="eastAsia"/>
          <w:szCs w:val="21"/>
        </w:rPr>
        <w:t>、银行间市场清算所股份有限公司</w:t>
      </w:r>
      <w:r>
        <w:rPr>
          <w:rFonts w:ascii="宋体" w:cs="Arial" w:hAnsi="宋体" w:hint="eastAsia"/>
          <w:szCs w:val="21"/>
        </w:rPr>
        <w:t>开立债券托管账户，并代表基金进行银行间市场债券的结算。基金管理人和基金托管人共同代表基金签订全国银行间债券市场债券回购主协议。债券托管账户的开立、使用和管理应遵照中国人民银行、中央国债登记结算有限责任公司、银行间市场清算所</w:t>
      </w:r>
      <w:r>
        <w:rPr>
          <w:rFonts w:ascii="宋体" w:cs="Arial" w:hAnsi="宋体" w:hint="eastAsia"/>
          <w:szCs w:val="21"/>
        </w:rPr>
        <w:t>股份有限公司的管理规定。</w:t>
      </w:r>
    </w:p>
    <w:p w14:paraId="489F3C6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（六）定期存款账户的开设与管理</w:t>
      </w:r>
    </w:p>
    <w:p w14:paraId="1FDD203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基金投资定期存款在存款机构开立的银行账户，包括实体或虚拟账户。定期存款账户户名应与基金银行账户保持一致</w:t>
      </w:r>
      <w:r>
        <w:rPr>
          <w:rFonts w:ascii="宋体" w:cs="Arial" w:hAnsi="宋体" w:hint="eastAsia"/>
          <w:szCs w:val="21"/>
        </w:rPr>
        <w:t>,</w:t>
      </w:r>
      <w:r>
        <w:rPr>
          <w:rFonts w:ascii="宋体" w:cs="Arial" w:hAnsi="宋体" w:hint="eastAsia"/>
          <w:szCs w:val="21"/>
        </w:rPr>
        <w:t>该账户预留印鉴经与基金托管人商议后预留。基金管理人应该在合理的时间内进行定期存款的投资和支取事宜。对于任何的定期存款投资，基金管理人都必须和存款机构签订定期存款协议，协议内容应至少包含起息日、到期日、存款金额、存款账户、存款利率、存款是否可以提前支取、定存到期支取账户、存款证实书如何交接以及存款证实书不得转让质押等条款。协议须约定基金托管人经办行名</w:t>
      </w:r>
      <w:r>
        <w:rPr>
          <w:rFonts w:ascii="宋体" w:cs="Arial" w:hAnsi="宋体" w:hint="eastAsia"/>
          <w:szCs w:val="21"/>
        </w:rPr>
        <w:t>称、地址和账户，并将本基金银行账户指定为唯一回款账户，协议中涉及基金托管人相关职责的约定须由基金管理人和基金托管人双方协商一致后签署。</w:t>
      </w:r>
    </w:p>
    <w:p w14:paraId="012903C5" w14:textId="77777777" w:rsidR="005465E4" w:rsidRDefault="00EB5FF5">
      <w:pPr>
        <w:adjustRightInd w:val="0"/>
        <w:spacing w:line="360" w:lineRule="auto"/>
        <w:ind w:firstLine="420" w:firstLineChars="200"/>
        <w:rPr>
          <w:rFonts w:ascii="宋体" w:hAnsi="宋体"/>
          <w:szCs w:val="21"/>
        </w:rPr>
      </w:pPr>
      <w:r>
        <w:rPr>
          <w:rFonts w:ascii="宋体" w:hAnsi="宋体" w:hint="eastAsia"/>
          <w:szCs w:val="21"/>
        </w:rPr>
        <w:t>（七）期货账户的开立和管理</w:t>
      </w:r>
    </w:p>
    <w:p w14:paraId="1D825BBC" w14:textId="77777777" w:rsidR="005465E4" w:rsidRDefault="00EB5FF5">
      <w:pPr>
        <w:adjustRightInd w:val="0"/>
        <w:spacing w:line="360" w:lineRule="auto"/>
        <w:ind w:firstLine="420" w:firstLineChars="200"/>
        <w:rPr>
          <w:rFonts w:ascii="宋体" w:hAnsi="宋体"/>
          <w:szCs w:val="21"/>
        </w:rPr>
      </w:pPr>
      <w:r>
        <w:rPr>
          <w:rFonts w:ascii="宋体" w:hAnsi="宋体" w:hint="eastAsia"/>
          <w:szCs w:val="21"/>
        </w:rPr>
        <w:t>基金托管人与基金管理人应依据相关期货交易所或期货公司的相关规定开立和管理期货账户。</w:t>
      </w:r>
    </w:p>
    <w:p w14:paraId="2D05F37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（八）其他账户的开立和管理</w:t>
      </w:r>
    </w:p>
    <w:p w14:paraId="585B16F4" w14:textId="77777777" w:rsidR="005465E4" w:rsidRDefault="00EB5FF5">
      <w:pPr>
        <w:numPr>
          <w:ilvl w:val="0"/>
          <w:numId w:val="8"/>
        </w:numPr>
        <w:adjustRightInd w:val="0"/>
        <w:spacing w:line="360" w:lineRule="auto"/>
        <w:ind w:firstLine="420" w:firstLineChars="200" w:left="0"/>
        <w:rPr>
          <w:rFonts w:ascii="宋体" w:cs="Arial" w:hAnsi="宋体"/>
          <w:szCs w:val="21"/>
        </w:rPr>
      </w:pPr>
      <w:r>
        <w:rPr>
          <w:rFonts w:ascii="宋体" w:cs="Arial" w:hAnsi="宋体" w:hint="eastAsia"/>
          <w:szCs w:val="21"/>
        </w:rPr>
        <w:t>因业务发展需要而开立的其他账户，可以根据法律法规和基金合同的规定开立，在基金管理人和基金托管人商议后由基金托管人负责开立。新账户按有关规定使用并管理。</w:t>
      </w:r>
    </w:p>
    <w:p w14:paraId="398C7F99" w14:textId="77777777" w:rsidR="005465E4" w:rsidRDefault="00EB5FF5">
      <w:pPr>
        <w:numPr>
          <w:ilvl w:val="0"/>
          <w:numId w:val="8"/>
        </w:numPr>
        <w:adjustRightInd w:val="0"/>
        <w:spacing w:line="360" w:lineRule="auto"/>
        <w:ind w:firstLine="420" w:firstLineChars="200" w:left="0"/>
        <w:rPr>
          <w:rFonts w:ascii="宋体" w:cs="Arial" w:hAnsi="宋体"/>
          <w:szCs w:val="21"/>
        </w:rPr>
      </w:pPr>
      <w:r>
        <w:rPr>
          <w:rFonts w:ascii="宋体" w:cs="Arial" w:hAnsi="宋体" w:hint="eastAsia"/>
          <w:szCs w:val="21"/>
        </w:rPr>
        <w:t>法律法规等有关规定对相关账户的开立和管理另有规定的，从其规定办理。</w:t>
      </w:r>
    </w:p>
    <w:p w14:paraId="5E07D06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（九）基金财产投资的有关有价凭证等的保管</w:t>
      </w:r>
    </w:p>
    <w:p w14:paraId="6CD38FC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基金财产投资的有关实物证券</w:t>
      </w:r>
      <w:r>
        <w:rPr>
          <w:rFonts w:ascii="宋体" w:cs="仿宋" w:hAnsi="宋体" w:hint="eastAsia"/>
          <w:color w:val="000000"/>
          <w:szCs w:val="21"/>
        </w:rPr>
        <w:t>、银行存款开户证实书</w:t>
      </w:r>
      <w:r>
        <w:rPr>
          <w:rFonts w:ascii="宋体" w:cs="Arial" w:hAnsi="宋体" w:hint="eastAsia"/>
          <w:szCs w:val="21"/>
        </w:rPr>
        <w:t>等有价凭证由基金托管人存放于基金托管人的保管库，也可存入中央国债登记结算有限责任公司、</w:t>
      </w:r>
      <w:r>
        <w:rPr>
          <w:rFonts w:ascii="宋体" w:hAnsi="宋体" w:hint="eastAsia"/>
          <w:szCs w:val="21"/>
        </w:rPr>
        <w:t>银行间市场清算所股份有限公司、</w:t>
      </w:r>
      <w:r>
        <w:rPr>
          <w:rFonts w:ascii="宋体" w:cs="Arial" w:hAnsi="宋体" w:hint="eastAsia"/>
          <w:szCs w:val="21"/>
        </w:rPr>
        <w:t>中国证券登记结算有限责任公司上海分公司</w:t>
      </w:r>
      <w:r>
        <w:rPr>
          <w:rFonts w:ascii="宋体" w:cs="Arial" w:hAnsi="宋体" w:hint="eastAsia"/>
          <w:szCs w:val="21"/>
        </w:rPr>
        <w:t>/</w:t>
      </w:r>
      <w:r>
        <w:rPr>
          <w:rFonts w:ascii="宋体" w:cs="Arial" w:hAnsi="宋体" w:hint="eastAsia"/>
          <w:szCs w:val="21"/>
        </w:rPr>
        <w:t>深圳分公司或票据营业中心的代保管库，保管凭证由基金托管人持有。实物证券</w:t>
      </w:r>
      <w:r>
        <w:rPr>
          <w:rFonts w:ascii="宋体" w:cs="仿宋" w:hAnsi="宋体" w:hint="eastAsia"/>
          <w:color w:val="000000"/>
          <w:szCs w:val="21"/>
        </w:rPr>
        <w:t>、银行存款开户证实书</w:t>
      </w:r>
      <w:r>
        <w:rPr>
          <w:rFonts w:ascii="宋体" w:cs="Arial" w:hAnsi="宋体" w:hint="eastAsia"/>
          <w:szCs w:val="21"/>
        </w:rPr>
        <w:t>等有价凭证的购买和转让，由基金管理人和基金托管人共同办理。基金托管人对由基金托管人</w:t>
      </w:r>
      <w:r>
        <w:rPr>
          <w:rFonts w:ascii="宋体" w:cs="仿宋" w:hAnsi="宋体" w:hint="eastAsia"/>
          <w:color w:val="000000"/>
          <w:szCs w:val="21"/>
        </w:rPr>
        <w:t>及基金托管人委托保管的机构</w:t>
      </w:r>
      <w:r>
        <w:rPr>
          <w:rFonts w:ascii="宋体" w:cs="Arial" w:hAnsi="宋体" w:hint="eastAsia"/>
          <w:szCs w:val="21"/>
        </w:rPr>
        <w:t>以外机构实际有效控制的证券不承担保管责任，但基金托管人应妥善保管凭证。</w:t>
      </w:r>
    </w:p>
    <w:p w14:paraId="0B3FCF9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（十）与基金财产有关的重大合同的保管</w:t>
      </w:r>
    </w:p>
    <w:p w14:paraId="2A0C798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w:t>
      </w:r>
      <w:r>
        <w:rPr>
          <w:rFonts w:ascii="宋体" w:cs="Arial" w:hAnsi="宋体"/>
          <w:szCs w:val="21"/>
        </w:rPr>
        <w:t>基金管理人和基金托管人都应当按规定的期限保管</w:t>
      </w:r>
      <w:r>
        <w:rPr>
          <w:rFonts w:ascii="宋体" w:cs="Arial" w:hAnsi="宋体" w:hint="eastAsia"/>
          <w:szCs w:val="21"/>
        </w:rPr>
        <w:t>，</w:t>
      </w:r>
      <w:r>
        <w:rPr>
          <w:rFonts w:ascii="宋体" w:cs="Arial" w:hAnsi="宋体"/>
          <w:szCs w:val="21"/>
        </w:rPr>
        <w:t>其中基金托管</w:t>
      </w:r>
      <w:r>
        <w:rPr>
          <w:rFonts w:ascii="宋体" w:cs="Arial" w:hAnsi="宋体" w:hint="eastAsia"/>
          <w:szCs w:val="21"/>
        </w:rPr>
        <w:t>人</w:t>
      </w:r>
      <w:r>
        <w:rPr>
          <w:rFonts w:ascii="宋体" w:cs="Arial" w:hAnsi="宋体"/>
          <w:szCs w:val="21"/>
        </w:rPr>
        <w:t>对</w:t>
      </w:r>
      <w:r>
        <w:rPr>
          <w:rFonts w:ascii="宋体" w:cs="Arial" w:hAnsi="宋体" w:hint="eastAsia"/>
          <w:szCs w:val="21"/>
        </w:rPr>
        <w:t>重大合同的保管期限为基金合同终止后</w:t>
      </w:r>
      <w:r>
        <w:rPr>
          <w:rFonts w:ascii="宋体" w:cs="Arial" w:hAnsi="宋体"/>
          <w:szCs w:val="21"/>
        </w:rPr>
        <w:t>20</w:t>
      </w:r>
      <w:r>
        <w:rPr>
          <w:rFonts w:ascii="宋体" w:cs="Arial" w:hAnsi="宋体" w:hint="eastAsia"/>
          <w:szCs w:val="21"/>
        </w:rPr>
        <w:t>年，法律法规或监管部</w:t>
      </w:r>
      <w:r>
        <w:rPr>
          <w:rFonts w:ascii="宋体" w:cs="Arial" w:hAnsi="宋体" w:hint="eastAsia"/>
          <w:szCs w:val="21"/>
        </w:rPr>
        <w:t>门另有规定的，从其规定。</w:t>
      </w:r>
    </w:p>
    <w:p w14:paraId="3B9DF792" w14:textId="77777777" w:rsidR="005465E4" w:rsidRDefault="00EB5FF5">
      <w:pPr>
        <w:pStyle w:val="1"/>
        <w:spacing w:after="0" w:before="0" w:line="360" w:lineRule="auto"/>
        <w:ind w:firstLine="422" w:firstLineChars="200"/>
        <w:jc w:val="center"/>
        <w:rPr>
          <w:rFonts w:ascii="宋体" w:hAnsi="宋体"/>
          <w:sz w:val="21"/>
          <w:szCs w:val="21"/>
        </w:rPr>
      </w:pPr>
      <w:bookmarkStart w:id="91" w:name="_Toc295832637"/>
      <w:bookmarkStart w:id="92" w:name="_Toc295833004"/>
      <w:bookmarkStart w:id="93" w:name="_Toc295832638"/>
      <w:bookmarkStart w:id="94" w:name="_Toc295833675"/>
      <w:bookmarkStart w:id="95" w:name="_Toc295832944"/>
      <w:bookmarkStart w:id="96" w:name="_Toc295833676"/>
      <w:bookmarkStart w:id="97" w:name="_Toc295832639"/>
      <w:bookmarkStart w:id="98" w:name="_Toc295833677"/>
      <w:bookmarkStart w:id="99" w:name="_Toc295833005"/>
      <w:bookmarkStart w:id="100" w:name="_Toc295832945"/>
      <w:bookmarkStart w:id="101" w:name="_Toc295833006"/>
      <w:bookmarkStart w:id="102" w:name="_Toc295832946"/>
      <w:bookmarkEnd w:id="91"/>
      <w:bookmarkEnd w:id="92"/>
      <w:bookmarkEnd w:id="93"/>
      <w:bookmarkEnd w:id="94"/>
      <w:bookmarkEnd w:id="95"/>
      <w:bookmarkEnd w:id="96"/>
      <w:bookmarkEnd w:id="97"/>
      <w:bookmarkEnd w:id="98"/>
      <w:bookmarkEnd w:id="99"/>
      <w:bookmarkEnd w:id="100"/>
      <w:bookmarkEnd w:id="101"/>
      <w:bookmarkEnd w:id="102"/>
      <w:r>
        <w:rPr>
          <w:rFonts w:ascii="宋体" w:hAnsi="宋体"/>
          <w:sz w:val="21"/>
          <w:szCs w:val="21"/>
        </w:rPr>
        <w:br w:type="page"/>
      </w:r>
      <w:bookmarkStart w:id="103" w:name="_Toc295833678"/>
      <w:bookmarkStart w:id="104" w:name="_Toc295832947"/>
      <w:bookmarkStart w:id="105" w:name="_Toc295832640"/>
      <w:bookmarkStart w:id="106" w:name="_Toc295833007"/>
      <w:bookmarkStart w:id="107" w:name="_Toc86223244"/>
      <w:bookmarkStart w:id="108" w:name="_Toc86225293"/>
      <w:bookmarkStart w:id="109" w:name="_Toc86204790"/>
      <w:bookmarkStart w:id="110" w:name="_Toc86726441"/>
      <w:bookmarkStart w:id="111" w:name="_Toc84234389"/>
      <w:bookmarkStart w:id="112" w:name="_Toc86649724"/>
      <w:bookmarkStart w:id="113" w:name="_Toc86727357"/>
      <w:bookmarkStart w:id="114" w:name="_Toc84234436"/>
      <w:bookmarkStart w:id="115" w:name="_Toc86737931"/>
      <w:bookmarkStart w:id="116" w:name="_Toc84133787"/>
      <w:bookmarkStart w:id="117" w:name="_Toc120435785"/>
      <w:bookmarkStart w:id="118" w:name="_Toc89163370"/>
      <w:bookmarkStart w:id="119" w:name="_Toc110765662"/>
      <w:bookmarkStart w:id="120" w:name="_Toc118212952"/>
      <w:bookmarkStart w:id="121" w:name="_Toc110830494"/>
      <w:bookmarkStart w:id="122" w:name="_Toc66879684"/>
      <w:bookmarkStart w:id="123" w:name="_Toc118972650"/>
      <w:bookmarkStart w:id="124" w:name="_Toc124325890"/>
      <w:bookmarkStart w:id="125" w:name="_Toc118774805"/>
      <w:bookmarkStart w:id="126" w:name="_Toc108512360"/>
      <w:bookmarkStart w:id="127" w:name="_Toc119402712"/>
      <w:bookmarkStart w:id="128" w:name="_Toc270669857"/>
      <w:bookmarkStart w:id="129" w:name="_Toc110761798"/>
      <w:bookmarkEnd w:id="103"/>
      <w:bookmarkEnd w:id="104"/>
      <w:bookmarkEnd w:id="105"/>
      <w:bookmarkEnd w:id="106"/>
      <w:r>
        <w:rPr>
          <w:rFonts w:ascii="宋体" w:hAnsi="宋体" w:hint="eastAsia"/>
          <w:sz w:val="21"/>
          <w:szCs w:val="21"/>
        </w:rPr>
        <w:t>六、指令的发送、确认及执行</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362F6E3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基金管理人在运用基金财产时向基金托管人发送资金划拨及其他款项付款指令，基金托管人执行基金管理人的指令、办理基金名下的资金往来等有关事项。</w:t>
      </w:r>
    </w:p>
    <w:p w14:paraId="54A4D79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（一）基金管理人对发送指令人员的书面授权</w:t>
      </w:r>
    </w:p>
    <w:p w14:paraId="52F006AF" w14:textId="77777777" w:rsidR="005465E4" w:rsidRDefault="00EB5FF5">
      <w:pPr>
        <w:numPr>
          <w:ilvl w:val="0"/>
          <w:numId w:val="9"/>
        </w:numPr>
        <w:adjustRightInd w:val="0"/>
        <w:spacing w:line="360" w:lineRule="auto"/>
        <w:ind w:firstLine="420" w:firstLineChars="200" w:left="0"/>
        <w:rPr>
          <w:rFonts w:ascii="宋体" w:cs="Arial" w:hAnsi="宋体"/>
          <w:szCs w:val="21"/>
        </w:rPr>
      </w:pPr>
      <w:r>
        <w:rPr>
          <w:rFonts w:ascii="宋体" w:cs="Arial" w:hAnsi="宋体" w:hint="eastAsia"/>
          <w:szCs w:val="21"/>
        </w:rPr>
        <w:t>基金管理人应指定专人向基金托管人发送指令。</w:t>
      </w:r>
    </w:p>
    <w:p w14:paraId="5D3D5C50" w14:textId="77777777" w:rsidR="005465E4" w:rsidRDefault="00EB5FF5">
      <w:pPr>
        <w:numPr>
          <w:ilvl w:val="0"/>
          <w:numId w:val="9"/>
        </w:numPr>
        <w:adjustRightInd w:val="0"/>
        <w:spacing w:line="360" w:lineRule="auto"/>
        <w:ind w:firstLine="420" w:firstLineChars="200" w:left="0"/>
        <w:rPr>
          <w:rFonts w:ascii="宋体" w:cs="Arial" w:hAnsi="宋体"/>
          <w:szCs w:val="21"/>
        </w:rPr>
      </w:pPr>
      <w:r>
        <w:rPr>
          <w:rFonts w:ascii="宋体" w:cs="Arial" w:hAnsi="宋体" w:hint="eastAsia"/>
          <w:szCs w:val="21"/>
        </w:rPr>
        <w:t>基金管理人应于本基金成立前三个工作日内，向基金托管人提供预留印鉴和授权人签字样本，事先书面通知（以下称“授权通知”）基金托管人有权发送指令的人员名单，注明相应的交易权限，并规定基金管理人向基金托管人发送指令时基金托管人确认有权发送人</w:t>
      </w:r>
      <w:r>
        <w:rPr>
          <w:rFonts w:ascii="宋体" w:cs="Arial" w:hAnsi="宋体" w:hint="eastAsia"/>
          <w:szCs w:val="21"/>
        </w:rPr>
        <w:t>员身份的方法。授权通知应由基金管理人法定代表人或被授权签字人签字并加盖公章，若由授权签字人签署，还应附上法定代表人的授权书。</w:t>
      </w:r>
    </w:p>
    <w:p w14:paraId="160B42C1" w14:textId="77777777" w:rsidR="005465E4" w:rsidRDefault="00EB5FF5">
      <w:pPr>
        <w:numPr>
          <w:ilvl w:val="0"/>
          <w:numId w:val="9"/>
        </w:numPr>
        <w:adjustRightInd w:val="0"/>
        <w:spacing w:line="360" w:lineRule="auto"/>
        <w:ind w:firstLine="420" w:firstLineChars="200" w:left="0"/>
        <w:rPr>
          <w:rFonts w:ascii="宋体" w:cs="Arial" w:hAnsi="宋体"/>
          <w:szCs w:val="21"/>
        </w:rPr>
      </w:pPr>
      <w:r>
        <w:rPr>
          <w:rFonts w:ascii="宋体" w:cs="Arial" w:hAnsi="宋体" w:hint="eastAsia"/>
          <w:szCs w:val="21"/>
        </w:rPr>
        <w:t>基金管理人应以传真或其他双方书面认可的方式向基金托管人发送授权通知并及时与基金托管人进行电话确认。授权文件需载明具体生效时间，载明的具体生效时间不得早于电话确认时间，授权文件自载明日期生效。</w:t>
      </w:r>
    </w:p>
    <w:p w14:paraId="490CA9D9" w14:textId="77777777" w:rsidR="005465E4" w:rsidRDefault="00EB5FF5">
      <w:pPr>
        <w:numPr>
          <w:ilvl w:val="0"/>
          <w:numId w:val="9"/>
        </w:numPr>
        <w:adjustRightInd w:val="0"/>
        <w:spacing w:line="360" w:lineRule="auto"/>
        <w:ind w:firstLine="420" w:firstLineChars="200" w:left="0"/>
        <w:rPr>
          <w:rFonts w:ascii="宋体" w:cs="Arial" w:hAnsi="宋体"/>
          <w:szCs w:val="21"/>
        </w:rPr>
      </w:pPr>
      <w:r>
        <w:rPr>
          <w:rFonts w:ascii="宋体" w:cs="Arial" w:hAnsi="宋体" w:hint="eastAsia"/>
          <w:szCs w:val="21"/>
        </w:rPr>
        <w:t>基金管理人应确保原件与传真件一致，若不一致则以生效的传真件为准。基金管理人和基金托管人对授权文件负有保密义务，其内容不得向被授权人及相关操作人员以外的任何人泄漏。但法律法规规定或有权机关要求的除</w:t>
      </w:r>
      <w:r>
        <w:rPr>
          <w:rFonts w:ascii="宋体" w:cs="Arial" w:hAnsi="宋体" w:hint="eastAsia"/>
          <w:szCs w:val="21"/>
        </w:rPr>
        <w:t>外。</w:t>
      </w:r>
    </w:p>
    <w:p w14:paraId="05DCCB7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（二）指令的内容</w:t>
      </w:r>
    </w:p>
    <w:p w14:paraId="027661B6" w14:textId="77777777" w:rsidR="005465E4" w:rsidRDefault="00EB5FF5">
      <w:pPr>
        <w:numPr>
          <w:ilvl w:val="0"/>
          <w:numId w:val="10"/>
        </w:numPr>
        <w:adjustRightInd w:val="0"/>
        <w:spacing w:line="360" w:lineRule="auto"/>
        <w:ind w:firstLine="420" w:firstLineChars="200" w:left="0"/>
        <w:rPr>
          <w:rFonts w:ascii="宋体" w:cs="Arial" w:hAnsi="宋体"/>
          <w:szCs w:val="21"/>
        </w:rPr>
      </w:pPr>
      <w:r>
        <w:rPr>
          <w:rFonts w:ascii="宋体" w:cs="Arial" w:hAnsi="宋体" w:hint="eastAsia"/>
          <w:szCs w:val="21"/>
        </w:rPr>
        <w:t>指令包括赎回、分红付款指令、与投资有关的付款指令以及其他资金划拨指令等。</w:t>
      </w:r>
    </w:p>
    <w:p w14:paraId="128F2F8E" w14:textId="77777777" w:rsidR="005465E4" w:rsidRDefault="00EB5FF5">
      <w:pPr>
        <w:numPr>
          <w:ilvl w:val="0"/>
          <w:numId w:val="10"/>
        </w:numPr>
        <w:adjustRightInd w:val="0"/>
        <w:spacing w:line="360" w:lineRule="auto"/>
        <w:ind w:firstLine="420" w:firstLineChars="200" w:left="0"/>
        <w:rPr>
          <w:rFonts w:ascii="宋体" w:cs="Arial" w:hAnsi="宋体"/>
          <w:szCs w:val="21"/>
        </w:rPr>
      </w:pPr>
      <w:r>
        <w:rPr>
          <w:rFonts w:ascii="宋体" w:cs="Arial" w:hAnsi="宋体" w:hint="eastAsia"/>
          <w:szCs w:val="21"/>
        </w:rPr>
        <w:t>基金管理人发给基金托管人的指令应写明款项事由、支付时间、到账时间、金额、收付款账户等，加盖预留印鉴并由被授权人签字。</w:t>
      </w:r>
    </w:p>
    <w:p w14:paraId="1A20030D" w14:textId="77777777" w:rsidR="005465E4" w:rsidRDefault="00EB5FF5">
      <w:pPr>
        <w:numPr>
          <w:ilvl w:val="0"/>
          <w:numId w:val="10"/>
        </w:numPr>
        <w:adjustRightInd w:val="0"/>
        <w:spacing w:line="360" w:lineRule="auto"/>
        <w:ind w:firstLine="420" w:firstLineChars="200" w:left="0"/>
        <w:rPr>
          <w:rFonts w:ascii="宋体" w:cs="Arial" w:hAnsi="宋体"/>
          <w:szCs w:val="21"/>
        </w:rPr>
      </w:pPr>
      <w:r>
        <w:rPr>
          <w:rFonts w:ascii="宋体" w:cs="Arial" w:hAnsi="宋体" w:hint="eastAsia"/>
          <w:szCs w:val="21"/>
        </w:rPr>
        <w:t>相关登记结算公司向基金托管人发送的结算通知视为基金管理人向基金托管人发出的指令。</w:t>
      </w:r>
    </w:p>
    <w:p w14:paraId="5921D77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（三）指令的发送、确认及执行的时间和程序</w:t>
      </w:r>
    </w:p>
    <w:p w14:paraId="025511CF" w14:textId="77777777" w:rsidR="005465E4" w:rsidRDefault="00EB5FF5">
      <w:pPr>
        <w:numPr>
          <w:ilvl w:val="0"/>
          <w:numId w:val="11"/>
        </w:numPr>
        <w:adjustRightInd w:val="0"/>
        <w:spacing w:line="360" w:lineRule="auto"/>
        <w:ind w:firstLine="420" w:firstLineChars="200" w:left="0"/>
        <w:rPr>
          <w:rFonts w:ascii="宋体" w:cs="Arial" w:hAnsi="宋体"/>
          <w:szCs w:val="21"/>
        </w:rPr>
      </w:pPr>
      <w:r>
        <w:rPr>
          <w:rFonts w:ascii="宋体" w:cs="Arial" w:hAnsi="宋体" w:hint="eastAsia"/>
          <w:szCs w:val="21"/>
        </w:rPr>
        <w:t>指令的发送</w:t>
      </w:r>
    </w:p>
    <w:p w14:paraId="1498F08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基金管理人发送指令应采用加密传真方式</w:t>
      </w:r>
      <w:r>
        <w:rPr>
          <w:rFonts w:ascii="宋体" w:cs="Arial" w:hAnsi="宋体"/>
          <w:szCs w:val="21"/>
        </w:rPr>
        <w:t>或其他基金管理人和基金托管人双方书面共同确认的</w:t>
      </w:r>
      <w:r>
        <w:rPr>
          <w:rFonts w:ascii="宋体" w:cs="Arial" w:hAnsi="宋体" w:hint="eastAsia"/>
          <w:szCs w:val="21"/>
        </w:rPr>
        <w:t>方式。</w:t>
      </w:r>
    </w:p>
    <w:p w14:paraId="4A50BCC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交易指令发送人员的授权，且上述授权的撤销或更改基金管理人已在指令执行前按照本协议约定通知基金托管人并经基金托管人根据本协议的约定方式或双方认可的方式确认后，则对于此后该交易指令发送人员无权发送的指令，或超权限发送的指令，基金管理人不承担责任，授权已更改但未经基金托管人确认的情况除外。</w:t>
      </w:r>
    </w:p>
    <w:p w14:paraId="1666ABD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指令发出后，基</w:t>
      </w:r>
      <w:r>
        <w:rPr>
          <w:rFonts w:ascii="宋体" w:cs="Arial" w:hAnsi="宋体" w:hint="eastAsia"/>
          <w:szCs w:val="21"/>
        </w:rPr>
        <w:t>金管理人应及时以电话方式向基金托管人确认。基金托管人在复核后应在规定期限内执行，不得延误。</w:t>
      </w:r>
      <w:r>
        <w:rPr>
          <w:rFonts w:ascii="宋体" w:hAnsi="宋体" w:hint="eastAsia"/>
          <w:szCs w:val="21"/>
        </w:rPr>
        <w:t>基金</w:t>
      </w:r>
      <w:r>
        <w:rPr>
          <w:rFonts w:ascii="宋体" w:hAnsi="宋体" w:hint="eastAsia"/>
          <w:color w:val="000000"/>
          <w:szCs w:val="21"/>
        </w:rPr>
        <w:t>托管人仅对基金管理人提交的指令按照本协议的约定进行表面一致性审查，基金托管人不负责审查基金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任何形式的责任。</w:t>
      </w:r>
    </w:p>
    <w:p w14:paraId="7BDBC5A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基金管理人应在交易结束后将银行间同业市场债券交易成交单加盖授权通知</w:t>
      </w:r>
      <w:r>
        <w:rPr>
          <w:rFonts w:ascii="宋体" w:cs="Arial" w:hAnsi="宋体" w:hint="eastAsia"/>
          <w:szCs w:val="21"/>
        </w:rPr>
        <w:t>中的预留印鉴后及时传真给基金托管人，并电话确认。如果银行间簿记系统已经生成的交易需要取消或终止，基金管理人应书面通知基金托管人。</w:t>
      </w:r>
    </w:p>
    <w:p w14:paraId="393B64E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基金管理人应于划款前一日向基金托管人发送投资划款指令并确认，如需在划款当日下达投资划款指令，在发送指令时，应为基金托管人留出执行指令所必需的时间，</w:t>
      </w:r>
      <w:r>
        <w:rPr>
          <w:rFonts w:ascii="宋体" w:hAnsi="宋体" w:hint="eastAsia"/>
          <w:szCs w:val="21"/>
        </w:rPr>
        <w:t>一般为两个工作小时，基金管理人</w:t>
      </w:r>
      <w:r>
        <w:rPr>
          <w:rFonts w:ascii="宋体" w:cs="Arial" w:hAnsi="宋体" w:hint="eastAsia"/>
          <w:szCs w:val="21"/>
        </w:rPr>
        <w:t>应于划款当日</w:t>
      </w:r>
      <w:r>
        <w:rPr>
          <w:rFonts w:ascii="宋体" w:cs="Arial" w:hAnsi="宋体" w:hint="eastAsia"/>
          <w:szCs w:val="21"/>
        </w:rPr>
        <w:t>15:00</w:t>
      </w:r>
      <w:r>
        <w:rPr>
          <w:rFonts w:ascii="宋体" w:cs="Arial" w:hAnsi="宋体" w:hint="eastAsia"/>
          <w:szCs w:val="21"/>
        </w:rPr>
        <w:t>前向基金托管人发送划款指令，</w:t>
      </w:r>
      <w:r>
        <w:rPr>
          <w:rFonts w:ascii="宋体" w:hAnsi="宋体" w:hint="eastAsia"/>
          <w:szCs w:val="21"/>
        </w:rPr>
        <w:t>15:00</w:t>
      </w:r>
      <w:r>
        <w:rPr>
          <w:rFonts w:ascii="宋体" w:hAnsi="宋体" w:hint="eastAsia"/>
          <w:szCs w:val="21"/>
        </w:rPr>
        <w:t>之后发送的，基金托管人尽力执行，但不能保证划账成功，</w:t>
      </w:r>
      <w:r>
        <w:rPr>
          <w:rFonts w:ascii="宋体" w:cs="Arial" w:hAnsi="宋体" w:hint="eastAsia"/>
          <w:szCs w:val="21"/>
        </w:rPr>
        <w:t>如有特殊情况，双方协商解决。因指令传输不及时、未能留出足够的划款时间，致使资金未能及时到账所造</w:t>
      </w:r>
      <w:r>
        <w:rPr>
          <w:rFonts w:ascii="宋体" w:cs="Arial" w:hAnsi="宋体" w:hint="eastAsia"/>
          <w:szCs w:val="21"/>
        </w:rPr>
        <w:t>成的损失由基金管理人承担。</w:t>
      </w:r>
    </w:p>
    <w:p w14:paraId="3699B5E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对新股申购网下发行业务，基金管理人应在网下申购缴款日</w:t>
      </w:r>
      <w:r>
        <w:rPr>
          <w:rFonts w:ascii="宋体" w:cs="Arial" w:hAnsi="宋体" w:hint="eastAsia"/>
          <w:szCs w:val="21"/>
        </w:rPr>
        <w:t>(T</w:t>
      </w:r>
      <w:r>
        <w:rPr>
          <w:rFonts w:ascii="宋体" w:cs="Arial" w:hAnsi="宋体" w:hint="eastAsia"/>
          <w:szCs w:val="21"/>
        </w:rPr>
        <w:t>日</w:t>
      </w:r>
      <w:r>
        <w:rPr>
          <w:rFonts w:ascii="宋体" w:cs="Arial" w:hAnsi="宋体" w:hint="eastAsia"/>
          <w:szCs w:val="21"/>
        </w:rPr>
        <w:t>)</w:t>
      </w:r>
      <w:r>
        <w:rPr>
          <w:rFonts w:ascii="宋体" w:cs="Arial" w:hAnsi="宋体" w:hint="eastAsia"/>
          <w:szCs w:val="21"/>
        </w:rPr>
        <w:t>的前一工作日下班前将指令发送给基金托管人，指令发送时间最迟不应晚于</w:t>
      </w:r>
      <w:r>
        <w:rPr>
          <w:rFonts w:ascii="宋体" w:cs="Arial" w:hAnsi="宋体" w:hint="eastAsia"/>
          <w:szCs w:val="21"/>
        </w:rPr>
        <w:t>T</w:t>
      </w:r>
      <w:r>
        <w:rPr>
          <w:rFonts w:ascii="宋体" w:cs="Arial" w:hAnsi="宋体" w:hint="eastAsia"/>
          <w:szCs w:val="21"/>
        </w:rPr>
        <w:t>日上午</w:t>
      </w:r>
      <w:r>
        <w:rPr>
          <w:rFonts w:ascii="宋体" w:cs="Arial" w:hAnsi="宋体" w:hint="eastAsia"/>
          <w:szCs w:val="21"/>
        </w:rPr>
        <w:t>10:00</w:t>
      </w:r>
      <w:r>
        <w:rPr>
          <w:rFonts w:ascii="宋体" w:cs="Arial" w:hAnsi="宋体" w:hint="eastAsia"/>
          <w:szCs w:val="21"/>
        </w:rPr>
        <w:t>。</w:t>
      </w:r>
    </w:p>
    <w:p w14:paraId="41E502B0" w14:textId="77777777" w:rsidR="005465E4" w:rsidRDefault="00EB5FF5">
      <w:pPr>
        <w:adjustRightInd w:val="0"/>
        <w:spacing w:line="360" w:lineRule="auto"/>
        <w:ind w:firstLine="420" w:firstLineChars="200"/>
        <w:rPr>
          <w:rFonts w:ascii="宋体" w:hAnsi="宋体"/>
          <w:szCs w:val="21"/>
        </w:rPr>
      </w:pPr>
      <w:r>
        <w:rPr>
          <w:rFonts w:ascii="宋体" w:hAnsi="宋体" w:hint="eastAsia"/>
          <w:szCs w:val="21"/>
        </w:rPr>
        <w:t>本协议项下的资金账户发生的银行结算费用、银行账户维护费等银行费用，由基金托管人直接从资金账户中扣划，无须基金管理人出具划款指令。</w:t>
      </w:r>
    </w:p>
    <w:p w14:paraId="09A4FF9E" w14:textId="77777777" w:rsidR="005465E4" w:rsidRDefault="00EB5FF5">
      <w:pPr>
        <w:spacing w:line="360" w:lineRule="auto"/>
        <w:ind w:firstLine="420" w:firstLineChars="200"/>
        <w:jc w:val="left"/>
        <w:rPr>
          <w:szCs w:val="21"/>
        </w:rPr>
      </w:pPr>
      <w:r>
        <w:rPr>
          <w:rFonts w:ascii="宋体" w:hAnsi="宋体" w:hint="eastAsia"/>
          <w:szCs w:val="21"/>
        </w:rPr>
        <w:t>基金托管人在收到有效指令后，将对于同一批次的划款指令随机执行，如有特殊支付顺序，基金管理人应以书面或其他双方认可的形式提前告知。</w:t>
      </w:r>
    </w:p>
    <w:p w14:paraId="19EF1689" w14:textId="77777777" w:rsidR="005465E4" w:rsidRDefault="00EB5FF5">
      <w:pPr>
        <w:numPr>
          <w:ilvl w:val="0"/>
          <w:numId w:val="11"/>
        </w:numPr>
        <w:adjustRightInd w:val="0"/>
        <w:spacing w:line="360" w:lineRule="auto"/>
        <w:ind w:firstLine="420" w:firstLineChars="200" w:left="0"/>
        <w:rPr>
          <w:rFonts w:ascii="宋体" w:cs="Arial" w:hAnsi="宋体"/>
          <w:szCs w:val="21"/>
        </w:rPr>
      </w:pPr>
      <w:r>
        <w:rPr>
          <w:rFonts w:ascii="宋体" w:cs="Arial" w:hAnsi="宋体" w:hint="eastAsia"/>
          <w:szCs w:val="21"/>
        </w:rPr>
        <w:t>指令的确认</w:t>
      </w:r>
    </w:p>
    <w:p w14:paraId="044039D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基金托管人应指定专人接收基金管理人的指令，预先通知基金管理人其名</w:t>
      </w:r>
      <w:r>
        <w:rPr>
          <w:rFonts w:ascii="宋体" w:cs="Arial" w:hAnsi="宋体" w:hint="eastAsia"/>
          <w:szCs w:val="21"/>
        </w:rPr>
        <w:t>单，并与基金管理人商定指令发送和接收方式。指令到达基金托管人后，基金托管人应指定专人立即对有关内容及印鉴和签名进行表面一致性审查，如有疑问必须及时通知基金管理人。</w:t>
      </w:r>
    </w:p>
    <w:p w14:paraId="2EF7F686" w14:textId="77777777" w:rsidR="005465E4" w:rsidRDefault="00EB5FF5">
      <w:pPr>
        <w:numPr>
          <w:ilvl w:val="0"/>
          <w:numId w:val="11"/>
        </w:numPr>
        <w:adjustRightInd w:val="0"/>
        <w:spacing w:line="360" w:lineRule="auto"/>
        <w:ind w:firstLine="420" w:firstLineChars="200" w:left="0"/>
        <w:rPr>
          <w:rFonts w:ascii="宋体" w:cs="Arial" w:hAnsi="宋体"/>
          <w:szCs w:val="21"/>
        </w:rPr>
      </w:pPr>
      <w:r>
        <w:rPr>
          <w:rFonts w:ascii="宋体" w:cs="Arial" w:hAnsi="宋体" w:hint="eastAsia"/>
          <w:szCs w:val="21"/>
        </w:rPr>
        <w:t>指令的时间和执行</w:t>
      </w:r>
    </w:p>
    <w:p w14:paraId="79B9517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基金托管人对指令验证后，应及时办理。指令执行完毕后，基金托管人应及时通知基金管理人。</w:t>
      </w:r>
    </w:p>
    <w:p w14:paraId="55771374" w14:textId="77777777" w:rsidR="005465E4" w:rsidRDefault="00EB5FF5">
      <w:pPr>
        <w:pStyle w:val="16"/>
        <w:spacing w:after="0" w:line="360" w:lineRule="auto"/>
        <w:ind w:firstLine="420" w:firstLineChars="200"/>
        <w:rPr>
          <w:rFonts w:cs="Arial" w:hAnsi="宋体"/>
          <w:sz w:val="21"/>
          <w:szCs w:val="21"/>
        </w:rPr>
      </w:pPr>
      <w:r>
        <w:rPr>
          <w:rFonts w:cs="Arial" w:hAnsi="宋体"/>
          <w:sz w:val="21"/>
          <w:szCs w:val="21"/>
        </w:rPr>
        <w:t>基金管理人向基金托管人下达指令时，应确保基金资金账户有足够的资金余额，对基金管理人在没有充足资金的情况下向基金托管人发出的投资指令、赎回、分红资金等的划拨指令，基金托管人可不予执行，但应立即通知基金管理人，由基金管理人审核、查明原因，出具书面文</w:t>
      </w:r>
      <w:r>
        <w:rPr>
          <w:rFonts w:cs="Arial" w:hAnsi="宋体"/>
          <w:sz w:val="21"/>
          <w:szCs w:val="21"/>
        </w:rPr>
        <w:t>件确认此交易指令无效。在及时通知后，基金托管人不承担因未执行该指令造成损失的责任。</w:t>
      </w:r>
    </w:p>
    <w:p w14:paraId="54321F15" w14:textId="77777777" w:rsidR="005465E4" w:rsidRDefault="00EB5FF5">
      <w:pPr>
        <w:pStyle w:val="16"/>
        <w:spacing w:after="0" w:line="360" w:lineRule="auto"/>
        <w:ind w:firstLine="420" w:firstLineChars="200"/>
        <w:rPr>
          <w:rFonts w:cs="Arial" w:hAnsi="宋体"/>
          <w:sz w:val="21"/>
          <w:szCs w:val="21"/>
          <w:shd w:color="auto" w:fill="FFFFFF" w:val="pct10"/>
        </w:rPr>
      </w:pPr>
      <w:r>
        <w:rPr>
          <w:rFonts w:cs="Arial" w:hAnsi="宋体"/>
          <w:sz w:val="21"/>
          <w:szCs w:val="21"/>
        </w:rPr>
        <w:t>对于发送时资金不足的指令，基金托管人有权不予执行，</w:t>
      </w:r>
      <w:r>
        <w:rPr>
          <w:rFonts w:cs="Arial" w:hAnsi="宋体" w:hint="eastAsia"/>
          <w:sz w:val="21"/>
          <w:szCs w:val="21"/>
        </w:rPr>
        <w:t>但</w:t>
      </w:r>
      <w:r>
        <w:rPr>
          <w:rFonts w:cs="Arial" w:hAnsi="宋体"/>
          <w:sz w:val="21"/>
          <w:szCs w:val="21"/>
        </w:rPr>
        <w:t>应当立即通知基金管理人，基金管理人确认该指令不予取消的，资金备足并通知基金托管人的时间视为指令收到时间。</w:t>
      </w:r>
    </w:p>
    <w:p w14:paraId="21DF4F9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（四）基金管理人发送错误指令的情形和处理程序</w:t>
      </w:r>
    </w:p>
    <w:p w14:paraId="0EFCD0A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基金管理人发送错误指令的情形包括指令违反法律法规和基金合同，指令发送人员无权或超越权限发送指令。</w:t>
      </w:r>
    </w:p>
    <w:p w14:paraId="13DCB7F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基金托管人在履行监督职能时，发现基金管理人的指令错误时，有权拒绝执行，并及时通知基金管理人改正。如需撤销指令，基金管理人应出具</w:t>
      </w:r>
      <w:r>
        <w:rPr>
          <w:rFonts w:ascii="宋体" w:cs="Arial" w:hAnsi="宋体" w:hint="eastAsia"/>
          <w:szCs w:val="21"/>
        </w:rPr>
        <w:t>书面说明，并加盖业务用章。但基金托管人因执行基金管理人的合法指令而对基金财产造成损失的，基金托管人不承担赔偿责任。基金托管人对执行基金管理人的依据交易程序已经生效的指令对本基金资产造成的损失不承担赔偿责任。</w:t>
      </w:r>
    </w:p>
    <w:p w14:paraId="158A1B6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（五）基金托管人依照法律法规暂缓、拒绝执行指令的情形和处理程序</w:t>
      </w:r>
    </w:p>
    <w:p w14:paraId="6E4B143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若基金托管人发现基金管理人的指令违反法律、行政法规和其他有关规定，或者违反基金合同约定的，应当拒绝执行，立即通知基金管理人。</w:t>
      </w:r>
    </w:p>
    <w:p w14:paraId="51545AB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（六）基金托管人未按照基金管理人指令执行的处理方法</w:t>
      </w:r>
    </w:p>
    <w:p w14:paraId="2C29611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对于基金管理人发送的合法、有效指令，基金托管人由于自身原因，未</w:t>
      </w:r>
      <w:r>
        <w:rPr>
          <w:rFonts w:ascii="宋体" w:cs="Arial" w:hAnsi="宋体" w:hint="eastAsia"/>
          <w:szCs w:val="21"/>
        </w:rPr>
        <w:t>按照基金管理人发送的指令执行，</w:t>
      </w:r>
      <w:r>
        <w:rPr>
          <w:rFonts w:ascii="宋体" w:hAnsi="宋体" w:hint="eastAsia"/>
          <w:szCs w:val="21"/>
        </w:rPr>
        <w:t>应在发现后及时采取措施予以弥补；</w:t>
      </w:r>
      <w:r>
        <w:rPr>
          <w:rFonts w:ascii="宋体" w:cs="Arial" w:hAnsi="宋体" w:hint="eastAsia"/>
          <w:szCs w:val="21"/>
        </w:rPr>
        <w:t>若对基金管理人、基金财产或投资人造成直接损失的，由基金托管人</w:t>
      </w:r>
      <w:r>
        <w:rPr>
          <w:rFonts w:ascii="宋体" w:hAnsi="宋体" w:hint="eastAsia"/>
          <w:szCs w:val="21"/>
        </w:rPr>
        <w:t>赔偿由此造成的直接损失</w:t>
      </w:r>
    </w:p>
    <w:p w14:paraId="4A7DBEA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（七）更换被授权人员的程序</w:t>
      </w:r>
    </w:p>
    <w:p w14:paraId="5508526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更换被授权人、更改或终止对被授权人的授权，应至少提前一个工作日，以书面方式（以下简称“授权变更通知书”）通知基金托管人，同时基金管理人向基金托管人提供新的被授权人的姓名、权限、预留印鉴和签字样本。基金管理人向基金托管人发出的授权变更通知书原件应加盖公章，若由授权签字人签署，还应附上法定代表人的授权书。基金管理人应以传真或其他双方书面认可的方式向基金托管人发送授权变更通知书并及时与基金托管人进行电话确认。授权变更通知书需载明具体生效时间，载明的具体生效时间不得早于电话确认时间，授权变更通知书自载明日</w:t>
      </w:r>
      <w:r>
        <w:rPr>
          <w:rFonts w:ascii="宋体" w:cs="Arial" w:hAnsi="宋体" w:hint="eastAsia"/>
          <w:szCs w:val="21"/>
        </w:rPr>
        <w:t>期生效，且原授权文件同时废止</w:t>
      </w:r>
      <w:r>
        <w:rPr>
          <w:rFonts w:ascii="宋体" w:cs="Arial" w:hAnsi="宋体" w:hint="eastAsia"/>
          <w:kern w:val="0"/>
          <w:szCs w:val="21"/>
        </w:rPr>
        <w:t>。</w:t>
      </w:r>
      <w:r>
        <w:rPr>
          <w:rFonts w:ascii="宋体" w:cs="Arial" w:hAnsi="宋体" w:hint="eastAsia"/>
          <w:szCs w:val="21"/>
        </w:rPr>
        <w:t>被授权人变更通知生效前，基金托管人仍应按原约定执行指令，基金管理人不得否认其效力。基金管理人应确保原件与传真件一致，若不一致则以生效的传真件为准。基金管理人和基金托管人对授权文件负有保密义务，其内容不得向被授权人及相关操作人员以外的任何人泄漏。但法律法规规定或有权机关要求的除外。</w:t>
      </w:r>
    </w:p>
    <w:p w14:paraId="3B4E20A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基金托管人更换接受基金管理人指令的人员，应提前通过电话通知基金管理人。</w:t>
      </w:r>
    </w:p>
    <w:p w14:paraId="3F48258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（八）其他事项</w:t>
      </w:r>
    </w:p>
    <w:p w14:paraId="4DD3701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基金托管人在接收指令时，应对指令的要素是否齐全、印鉴与被授权人是否与预留的授权文件内容相符进行检查，如发现问题，</w:t>
      </w:r>
      <w:r>
        <w:rPr>
          <w:rFonts w:ascii="宋体" w:cs="Arial" w:hAnsi="宋体" w:hint="eastAsia"/>
          <w:szCs w:val="21"/>
        </w:rPr>
        <w:t>应及时报告基金管理人，基金托管人对执行基金管理人的合法指令对基金财产造成的损失不承担赔偿责任。</w:t>
      </w:r>
    </w:p>
    <w:p w14:paraId="4381402F" w14:textId="77777777" w:rsidR="005465E4" w:rsidRDefault="00EB5FF5">
      <w:pPr>
        <w:adjustRightInd w:val="0"/>
        <w:spacing w:line="360" w:lineRule="auto"/>
        <w:ind w:firstLine="420" w:firstLineChars="200"/>
        <w:jc w:val="left"/>
        <w:rPr>
          <w:rFonts w:ascii="宋体" w:cs="Arial" w:hAnsi="宋体"/>
          <w:szCs w:val="21"/>
        </w:rPr>
      </w:pPr>
      <w:r>
        <w:rPr>
          <w:rFonts w:ascii="宋体" w:cs="Arial" w:hAnsi="宋体" w:hint="eastAsia"/>
          <w:szCs w:val="21"/>
        </w:rPr>
        <w:t>基金参与认购未上市债券时，基金管理人应代表本基金与对手方签署相关合同或协议，明确约定债券过户具体事宜。否则，基金管理人需对所认购债券的过户事宜承担相应责任。</w:t>
      </w:r>
    </w:p>
    <w:p w14:paraId="50882CA1" w14:textId="77777777" w:rsidR="005465E4" w:rsidRDefault="00EB5FF5">
      <w:pPr>
        <w:adjustRightInd w:val="0"/>
        <w:spacing w:line="360" w:lineRule="auto"/>
        <w:ind w:firstLine="420" w:firstLineChars="200"/>
        <w:rPr>
          <w:rFonts w:ascii="宋体" w:cs="Arial" w:hAnsi="宋体"/>
          <w:szCs w:val="21"/>
        </w:rPr>
      </w:pPr>
      <w:r>
        <w:rPr>
          <w:rFonts w:ascii="宋体" w:hAnsi="宋体" w:hint="eastAsia"/>
          <w:szCs w:val="21"/>
        </w:rPr>
        <w:t>指令正本由基金管理人保管，基金托管人保管指令传真件。当两者不一致时，以基金托管人收到的业务指令传真件为准</w:t>
      </w:r>
      <w:r>
        <w:rPr>
          <w:rFonts w:ascii="宋体" w:cs="Arial" w:hAnsi="宋体" w:hint="eastAsia"/>
          <w:szCs w:val="21"/>
        </w:rPr>
        <w:t>。</w:t>
      </w:r>
    </w:p>
    <w:p w14:paraId="1325095D"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130" w:name="_Toc295832642"/>
      <w:bookmarkStart w:id="131" w:name="_Toc295832949"/>
      <w:bookmarkStart w:id="132" w:name="_Toc295833009"/>
      <w:bookmarkStart w:id="133" w:name="_Toc295833680"/>
      <w:bookmarkStart w:id="134" w:name="_Toc270669858"/>
      <w:bookmarkStart w:id="135" w:name="_Toc66879685"/>
      <w:bookmarkStart w:id="136" w:name="_Toc124325891"/>
      <w:bookmarkStart w:id="137" w:name="_Toc86649725"/>
      <w:bookmarkStart w:id="138" w:name="_Toc86726442"/>
      <w:bookmarkStart w:id="139" w:name="_Toc84234437"/>
      <w:bookmarkStart w:id="140" w:name="_Toc86727358"/>
      <w:bookmarkStart w:id="141" w:name="_Toc86737932"/>
      <w:bookmarkStart w:id="142" w:name="_Toc89163371"/>
      <w:bookmarkStart w:id="143" w:name="_Toc86204791"/>
      <w:bookmarkStart w:id="144" w:name="_Toc108512361"/>
      <w:bookmarkStart w:id="145" w:name="_Toc110761799"/>
      <w:bookmarkStart w:id="146" w:name="_Toc84133788"/>
      <w:bookmarkStart w:id="147" w:name="_Toc86223245"/>
      <w:bookmarkStart w:id="148" w:name="_Toc86225294"/>
      <w:bookmarkStart w:id="149" w:name="_Toc84234390"/>
      <w:bookmarkStart w:id="150" w:name="_Toc110765663"/>
      <w:bookmarkStart w:id="151" w:name="_Toc110830495"/>
      <w:bookmarkStart w:id="152" w:name="_Toc118212953"/>
      <w:bookmarkStart w:id="153" w:name="_Toc118972651"/>
      <w:bookmarkStart w:id="154" w:name="_Toc119402713"/>
      <w:bookmarkStart w:id="155" w:name="_Toc120435786"/>
      <w:bookmarkStart w:id="156" w:name="_Toc118774806"/>
      <w:bookmarkEnd w:id="130"/>
      <w:bookmarkEnd w:id="131"/>
      <w:bookmarkEnd w:id="132"/>
      <w:bookmarkEnd w:id="133"/>
      <w:r>
        <w:rPr>
          <w:rFonts w:ascii="宋体" w:hAnsi="宋体" w:hint="eastAsia"/>
          <w:sz w:val="21"/>
          <w:szCs w:val="21"/>
        </w:rPr>
        <w:t>七、交易及清算交收安排</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0EE4E55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（一）选择证券、期货买卖的证券、期货经营机构</w:t>
      </w:r>
    </w:p>
    <w:p w14:paraId="7E3F090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基金管理人应设计选择证券买卖的证券经营机构的标准和程序。基金管理人负责选择代理</w:t>
      </w:r>
      <w:r>
        <w:rPr>
          <w:rFonts w:ascii="宋体" w:cs="Arial" w:hAnsi="宋体" w:hint="eastAsia"/>
          <w:szCs w:val="21"/>
        </w:rPr>
        <w:t>本基金证券买卖的证券经营机构，租用其交易单元作为基金的专用交易单元。基金管理人和被选中的证券经营机构签订委托协议，基金管理人应提前通知基金托管人。基金管理人应根据有关规定，在基金的中期报告和年度报告中将所选证券经营机构的有关情况、基金通过该证券经营机构买卖证券的成交量、回购成交量和支付的佣金等予以披露，并将上述情况及基金交易单元号、佣金费率等基本信息以及变更情况及时以书面形式通知基金托管人。因相关法律法规或交易规则的修改带来的变化以届时有效的法律法规和相关交易规则为准。</w:t>
      </w:r>
    </w:p>
    <w:p w14:paraId="534B3EB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基金管理人负责选择代理本基金股指期货</w:t>
      </w:r>
      <w:r>
        <w:rPr>
          <w:rFonts w:ascii="宋体" w:cs="Arial" w:hAnsi="宋体" w:hint="eastAsia"/>
          <w:szCs w:val="21"/>
        </w:rPr>
        <w:t>、国债期货交易的期货经纪机构，并与其签订期货经纪合同，其他事宜根据法律法规、基金合同的相关规定执行，若无明确规定的，可参照有关证券买卖、证券及期货经纪机构选择的规则执行。</w:t>
      </w:r>
    </w:p>
    <w:p w14:paraId="08B2E52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（二）基金投资证券后的清算交收安排</w:t>
      </w:r>
    </w:p>
    <w:p w14:paraId="520DD2BF" w14:textId="77777777" w:rsidR="005465E4" w:rsidRDefault="00EB5FF5">
      <w:pPr>
        <w:numPr>
          <w:ilvl w:val="0"/>
          <w:numId w:val="12"/>
        </w:numPr>
        <w:adjustRightInd w:val="0"/>
        <w:spacing w:line="360" w:lineRule="auto"/>
        <w:ind w:firstLine="420" w:firstLineChars="200" w:left="0"/>
        <w:rPr>
          <w:rFonts w:ascii="宋体" w:cs="Arial" w:hAnsi="宋体"/>
          <w:szCs w:val="21"/>
        </w:rPr>
      </w:pPr>
      <w:r>
        <w:rPr>
          <w:rFonts w:ascii="宋体" w:cs="Arial" w:hAnsi="宋体" w:hint="eastAsia"/>
          <w:szCs w:val="21"/>
        </w:rPr>
        <w:t>清算与交割</w:t>
      </w:r>
    </w:p>
    <w:p w14:paraId="775AD176" w14:textId="77777777" w:rsidR="005465E4" w:rsidRDefault="00EB5FF5">
      <w:pPr>
        <w:adjustRightInd w:val="0"/>
        <w:spacing w:line="360" w:lineRule="auto"/>
        <w:ind w:firstLine="420" w:firstLineChars="200"/>
        <w:rPr>
          <w:rFonts w:ascii="宋体" w:cs="Arial" w:hAnsi="宋体"/>
          <w:szCs w:val="21"/>
        </w:rPr>
      </w:pPr>
      <w:r>
        <w:rPr>
          <w:rFonts w:ascii="宋体" w:hAnsi="宋体" w:hint="eastAsia"/>
          <w:szCs w:val="21"/>
        </w:rPr>
        <w:t>根据《中国证券登记结算有限责任公司结算备付金管理办法》、《证券结算保证金管理办法》，在每月第二个工作日内，中国证券登记结算有限责任公司对结算参与人的最低结算备付金限额或结算保证金进行重新核算、调整，管理人应提前一个交易日匡算最低备付金和证券结算保证金调整金额，留出足够资金头寸，以保证正常交收</w:t>
      </w:r>
      <w:r>
        <w:rPr>
          <w:rFonts w:ascii="宋体" w:hAnsi="宋体" w:hint="eastAsia"/>
          <w:szCs w:val="21"/>
        </w:rPr>
        <w:t>。基金托管人在中国证券登记结算有限责任公司调整最低结算备付金和证券结算保证金当日，在资金调节表中反映调整后的最低备付金和证券结算保证金。基金管理人应预留最低备付金和证券结算保证金，并根据中国证券登记结算有限责任公司确定的实际下月最低备付金和证券结算保证金数据为依据安排资金运作，调整所需的现金头寸。</w:t>
      </w:r>
    </w:p>
    <w:p w14:paraId="7222812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基金托管人负责基金买卖证券的清算交收。场内资金结算由基金托管人根据中国证券登记结算有限责任公司结算数据办理。</w:t>
      </w:r>
    </w:p>
    <w:p w14:paraId="30C23EA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如果因为基金托管人自身原因在清算上造成基金财产的损失，应由基金托管人负责赔偿；如果因为基金管理人未事先</w:t>
      </w:r>
      <w:r>
        <w:rPr>
          <w:rFonts w:ascii="宋体" w:cs="Arial" w:hAnsi="宋体" w:hint="eastAsia"/>
          <w:szCs w:val="21"/>
        </w:rPr>
        <w:t>通知基金托管人增加交易单元等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等原因造成基金投资清算困难和风险的，基金托管人发现后应立即通知基金管理人，由基金管理人负责解决，由此给本基金和基金托管人造成的实际损失由基金管理人承担。</w:t>
      </w:r>
    </w:p>
    <w:p w14:paraId="26E9E256" w14:textId="77777777" w:rsidR="005465E4" w:rsidRDefault="00EB5FF5">
      <w:pPr>
        <w:adjustRightInd w:val="0"/>
        <w:spacing w:line="360" w:lineRule="auto"/>
        <w:ind w:firstLine="420" w:firstLineChars="200"/>
        <w:rPr>
          <w:rFonts w:ascii="宋体" w:cs="宋体" w:hAnsi="宋体"/>
          <w:color w:val="000000"/>
          <w:kern w:val="0"/>
          <w:szCs w:val="21"/>
        </w:rPr>
      </w:pPr>
      <w:r>
        <w:rPr>
          <w:rFonts w:ascii="宋体" w:cs="宋体" w:hAnsi="宋体" w:hint="eastAsia"/>
          <w:color w:val="000000"/>
          <w:kern w:val="0"/>
          <w:szCs w:val="21"/>
        </w:rPr>
        <w:t>基金管理人应采取合理、必要措施，确保</w:t>
      </w:r>
      <w:r>
        <w:rPr>
          <w:rFonts w:ascii="宋体" w:cs="宋体" w:hAnsi="宋体" w:hint="eastAsia"/>
          <w:color w:val="000000"/>
          <w:kern w:val="0"/>
          <w:szCs w:val="21"/>
        </w:rPr>
        <w:t>T</w:t>
      </w:r>
      <w:r>
        <w:rPr>
          <w:rFonts w:ascii="宋体" w:cs="宋体" w:hAnsi="宋体" w:hint="eastAsia"/>
          <w:color w:val="000000"/>
          <w:kern w:val="0"/>
          <w:szCs w:val="21"/>
        </w:rPr>
        <w:t>日日终有足够的资金头寸完成</w:t>
      </w:r>
      <w:r>
        <w:rPr>
          <w:rFonts w:ascii="宋体" w:cs="宋体" w:hAnsi="宋体" w:hint="eastAsia"/>
          <w:color w:val="000000"/>
          <w:kern w:val="0"/>
          <w:szCs w:val="21"/>
        </w:rPr>
        <w:t xml:space="preserve"> T+1</w:t>
      </w:r>
      <w:r>
        <w:rPr>
          <w:rFonts w:ascii="宋体" w:cs="宋体" w:hAnsi="宋体" w:hint="eastAsia"/>
          <w:color w:val="000000"/>
          <w:kern w:val="0"/>
          <w:szCs w:val="21"/>
        </w:rPr>
        <w:t>日的投资交易资金结算；如因基金管理人原因导致资金</w:t>
      </w:r>
      <w:r>
        <w:rPr>
          <w:rFonts w:ascii="宋体" w:cs="宋体" w:hAnsi="宋体" w:hint="eastAsia"/>
          <w:color w:val="000000"/>
          <w:kern w:val="0"/>
          <w:szCs w:val="21"/>
        </w:rPr>
        <w:t>头寸不足，基金管理人应在</w:t>
      </w:r>
      <w:r>
        <w:rPr>
          <w:rFonts w:ascii="宋体" w:cs="宋体" w:hAnsi="宋体" w:hint="eastAsia"/>
          <w:color w:val="000000"/>
          <w:kern w:val="0"/>
          <w:szCs w:val="21"/>
        </w:rPr>
        <w:t>T+1</w:t>
      </w:r>
      <w:r>
        <w:rPr>
          <w:rFonts w:ascii="宋体" w:cs="宋体" w:hAnsi="宋体" w:hint="eastAsia"/>
          <w:color w:val="000000"/>
          <w:kern w:val="0"/>
          <w:szCs w:val="21"/>
        </w:rPr>
        <w:t>日上午</w:t>
      </w:r>
      <w:r>
        <w:rPr>
          <w:rFonts w:ascii="宋体" w:cs="宋体" w:hAnsi="宋体" w:hint="eastAsia"/>
          <w:color w:val="000000"/>
          <w:kern w:val="0"/>
          <w:szCs w:val="21"/>
        </w:rPr>
        <w:t>10</w:t>
      </w:r>
      <w:r>
        <w:rPr>
          <w:rFonts w:ascii="宋体" w:cs="宋体" w:hAnsi="宋体" w:hint="eastAsia"/>
          <w:color w:val="000000"/>
          <w:kern w:val="0"/>
          <w:szCs w:val="21"/>
        </w:rPr>
        <w:t>：</w:t>
      </w:r>
      <w:r>
        <w:rPr>
          <w:rFonts w:ascii="宋体" w:cs="宋体" w:hAnsi="宋体" w:hint="eastAsia"/>
          <w:color w:val="000000"/>
          <w:kern w:val="0"/>
          <w:szCs w:val="21"/>
        </w:rPr>
        <w:t>00</w:t>
      </w:r>
      <w:r>
        <w:rPr>
          <w:rFonts w:ascii="宋体" w:cs="宋体" w:hAnsi="宋体" w:hint="eastAsia"/>
          <w:color w:val="000000"/>
          <w:kern w:val="0"/>
          <w:szCs w:val="21"/>
        </w:rPr>
        <w:t>前补足透支款项，确保资金清算。如果未遵循上述规定备足资金头寸，影响基金资产的清算交收及基金托管人与中国证券登记结算有限责任公司之间的一级清算，由此给基金资产及基金托管人造成的</w:t>
      </w:r>
      <w:r>
        <w:rPr>
          <w:rFonts w:ascii="宋体" w:cs="Arial" w:hAnsi="宋体" w:hint="eastAsia"/>
          <w:szCs w:val="21"/>
        </w:rPr>
        <w:t>实际</w:t>
      </w:r>
      <w:r>
        <w:rPr>
          <w:rFonts w:ascii="宋体" w:cs="宋体" w:hAnsi="宋体" w:hint="eastAsia"/>
          <w:color w:val="000000"/>
          <w:kern w:val="0"/>
          <w:szCs w:val="21"/>
        </w:rPr>
        <w:t>损失由基金管理人负责。</w:t>
      </w:r>
    </w:p>
    <w:p w14:paraId="759CBF07" w14:textId="77777777" w:rsidR="005465E4" w:rsidRDefault="00EB5FF5">
      <w:pPr>
        <w:adjustRightInd w:val="0"/>
        <w:spacing w:line="360" w:lineRule="auto"/>
        <w:ind w:firstLine="420" w:firstLineChars="200"/>
        <w:rPr>
          <w:rFonts w:ascii="宋体" w:cs="宋体" w:hAnsi="宋体"/>
          <w:color w:val="000000"/>
          <w:kern w:val="0"/>
          <w:szCs w:val="21"/>
        </w:rPr>
      </w:pPr>
      <w:r>
        <w:rPr>
          <w:rFonts w:ascii="宋体" w:cs="宋体" w:hAnsi="宋体" w:hint="eastAsia"/>
          <w:color w:val="000000"/>
          <w:kern w:val="0"/>
          <w:szCs w:val="21"/>
        </w:rPr>
        <w:t>本基金参与</w:t>
      </w:r>
      <w:r>
        <w:rPr>
          <w:rFonts w:ascii="宋体" w:cs="宋体" w:hAnsi="宋体" w:hint="eastAsia"/>
          <w:color w:val="000000"/>
          <w:kern w:val="0"/>
          <w:szCs w:val="21"/>
        </w:rPr>
        <w:t>T+0</w:t>
      </w:r>
      <w:r>
        <w:rPr>
          <w:rFonts w:ascii="宋体" w:cs="宋体" w:hAnsi="宋体" w:hint="eastAsia"/>
          <w:color w:val="000000"/>
          <w:kern w:val="0"/>
          <w:szCs w:val="21"/>
        </w:rPr>
        <w:t>交易所非担保交收债券交易的，基金管理人应确保有足额头寸用于上述交易，并必须于</w:t>
      </w:r>
      <w:r>
        <w:rPr>
          <w:rFonts w:ascii="宋体" w:cs="宋体" w:hAnsi="宋体" w:hint="eastAsia"/>
          <w:color w:val="000000"/>
          <w:kern w:val="0"/>
          <w:szCs w:val="21"/>
        </w:rPr>
        <w:t>T+0</w:t>
      </w:r>
      <w:r>
        <w:rPr>
          <w:rFonts w:ascii="宋体" w:cs="宋体" w:hAnsi="宋体" w:hint="eastAsia"/>
          <w:color w:val="000000"/>
          <w:kern w:val="0"/>
          <w:szCs w:val="21"/>
        </w:rPr>
        <w:t>日</w:t>
      </w:r>
      <w:r>
        <w:rPr>
          <w:rFonts w:ascii="宋体" w:cs="宋体" w:hAnsi="宋体" w:hint="eastAsia"/>
          <w:color w:val="000000"/>
          <w:kern w:val="0"/>
          <w:szCs w:val="21"/>
        </w:rPr>
        <w:t>14:00</w:t>
      </w:r>
      <w:r>
        <w:rPr>
          <w:rFonts w:ascii="宋体" w:cs="宋体" w:hAnsi="宋体" w:hint="eastAsia"/>
          <w:color w:val="000000"/>
          <w:kern w:val="0"/>
          <w:szCs w:val="21"/>
        </w:rPr>
        <w:t>之前出具有效划款指令（含不履约申报申请），并确保指令要素（包括但不限于交收金额、成交编号）与实际交收信息一致。如由非基金托管人的原因导致</w:t>
      </w:r>
      <w:r>
        <w:rPr>
          <w:rFonts w:ascii="宋体" w:cs="宋体" w:hAnsi="宋体" w:hint="eastAsia"/>
          <w:color w:val="000000"/>
          <w:kern w:val="0"/>
          <w:szCs w:val="21"/>
        </w:rPr>
        <w:t>T+0</w:t>
      </w:r>
      <w:r>
        <w:rPr>
          <w:rFonts w:ascii="宋体" w:cs="宋体" w:hAnsi="宋体" w:hint="eastAsia"/>
          <w:color w:val="000000"/>
          <w:kern w:val="0"/>
          <w:szCs w:val="21"/>
        </w:rPr>
        <w:t>非担保交收失</w:t>
      </w:r>
      <w:r>
        <w:rPr>
          <w:rFonts w:ascii="宋体" w:cs="宋体" w:hAnsi="宋体" w:hint="eastAsia"/>
          <w:color w:val="000000"/>
          <w:kern w:val="0"/>
          <w:szCs w:val="21"/>
        </w:rPr>
        <w:t>败，给基金托管人造成损失的，基金管理人应承担赔偿责任。</w:t>
      </w:r>
    </w:p>
    <w:p w14:paraId="19595BD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基金管理人应保证基金托管人在执行基金管理人发送的划款指令时，基金银行账户或资金交收账户</w:t>
      </w:r>
      <w:r>
        <w:rPr>
          <w:rFonts w:ascii="宋体" w:cs="Arial" w:hAnsi="宋体" w:hint="eastAsia"/>
          <w:szCs w:val="21"/>
        </w:rPr>
        <w:t>(</w:t>
      </w:r>
      <w:r>
        <w:rPr>
          <w:rFonts w:ascii="宋体" w:cs="Arial" w:hAnsi="宋体" w:hint="eastAsia"/>
          <w:szCs w:val="21"/>
        </w:rPr>
        <w:t>除登记公司收保或冻结资金外</w:t>
      </w:r>
      <w:r>
        <w:rPr>
          <w:rFonts w:ascii="宋体" w:cs="Arial" w:hAnsi="宋体" w:hint="eastAsia"/>
          <w:szCs w:val="21"/>
        </w:rPr>
        <w:t>)</w:t>
      </w:r>
      <w:r>
        <w:rPr>
          <w:rFonts w:ascii="宋体" w:cs="Arial" w:hAnsi="宋体" w:hint="eastAsia"/>
          <w:szCs w:val="21"/>
        </w:rPr>
        <w:t>上有充足的资金。基金的资金头寸不足时，基金托管人有权拒绝执行基金管理人发送的划款指令并同时通知基金管理人，</w:t>
      </w:r>
      <w:r>
        <w:rPr>
          <w:rFonts w:hint="eastAsia"/>
          <w:bCs/>
          <w:szCs w:val="21"/>
        </w:rPr>
        <w:t>并视账户余额充足时为指令送达时间</w:t>
      </w:r>
      <w:r>
        <w:rPr>
          <w:rFonts w:ascii="宋体" w:cs="Arial" w:hAnsi="宋体" w:hint="eastAsia"/>
          <w:szCs w:val="21"/>
        </w:rPr>
        <w:t>。基金管理人在发送划款指令时应充分考虑基金托管人的划款处理时间，一般为</w:t>
      </w:r>
      <w:r>
        <w:rPr>
          <w:rFonts w:ascii="宋体" w:cs="Arial" w:hAnsi="宋体" w:hint="eastAsia"/>
          <w:szCs w:val="21"/>
        </w:rPr>
        <w:t>2</w:t>
      </w:r>
      <w:r>
        <w:rPr>
          <w:rFonts w:ascii="宋体" w:cs="Arial" w:hAnsi="宋体" w:hint="eastAsia"/>
          <w:szCs w:val="21"/>
        </w:rPr>
        <w:t>个工作小时。在基金资金头寸充足的情况下，基金托管人对基金管理人符合法律法规、基金合同、本协议的指令不得拖延或拒绝执行。</w:t>
      </w:r>
    </w:p>
    <w:p w14:paraId="1424268A" w14:textId="77777777" w:rsidR="005465E4" w:rsidRDefault="00EB5FF5">
      <w:pPr>
        <w:numPr>
          <w:ilvl w:val="0"/>
          <w:numId w:val="12"/>
        </w:numPr>
        <w:adjustRightInd w:val="0"/>
        <w:spacing w:line="360" w:lineRule="auto"/>
        <w:ind w:firstLine="420" w:firstLineChars="200" w:left="0"/>
        <w:rPr>
          <w:rFonts w:ascii="宋体" w:cs="Arial" w:hAnsi="宋体"/>
          <w:szCs w:val="21"/>
        </w:rPr>
      </w:pPr>
      <w:r>
        <w:rPr>
          <w:rFonts w:ascii="宋体" w:cs="Arial" w:hAnsi="宋体" w:hint="eastAsia"/>
          <w:szCs w:val="21"/>
        </w:rPr>
        <w:t>交易记录、</w:t>
      </w:r>
      <w:r>
        <w:rPr>
          <w:rFonts w:ascii="宋体" w:cs="Arial" w:hAnsi="宋体" w:hint="eastAsia"/>
          <w:szCs w:val="21"/>
        </w:rPr>
        <w:t>资金和证券账目核对的时间和方式</w:t>
      </w:r>
    </w:p>
    <w:p w14:paraId="49E725CB" w14:textId="77777777" w:rsidR="005465E4" w:rsidRDefault="00EB5FF5">
      <w:pPr>
        <w:numPr>
          <w:ilvl w:val="0"/>
          <w:numId w:val="13"/>
        </w:numPr>
        <w:adjustRightInd w:val="0"/>
        <w:spacing w:line="360" w:lineRule="auto"/>
        <w:ind w:firstLine="420" w:firstLineChars="200" w:left="0"/>
        <w:rPr>
          <w:rFonts w:ascii="宋体" w:cs="Arial" w:hAnsi="宋体"/>
          <w:szCs w:val="21"/>
        </w:rPr>
      </w:pPr>
      <w:r>
        <w:rPr>
          <w:rFonts w:ascii="宋体" w:cs="Arial" w:hAnsi="宋体" w:hint="eastAsia"/>
          <w:szCs w:val="21"/>
        </w:rPr>
        <w:t>交易记录的核对</w:t>
      </w:r>
    </w:p>
    <w:p w14:paraId="43A1B64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基金管理人和基金托管人按日进行交易记录的核对。对外披露</w:t>
      </w:r>
      <w:r>
        <w:rPr>
          <w:rFonts w:hint="eastAsia"/>
          <w:szCs w:val="21"/>
        </w:rPr>
        <w:t>基金份额</w:t>
      </w:r>
      <w:r>
        <w:rPr>
          <w:rFonts w:ascii="宋体" w:cs="Arial" w:hAnsi="宋体" w:hint="eastAsia"/>
          <w:szCs w:val="21"/>
        </w:rPr>
        <w:t>净值之前，必须保证当天所有实际交易记录与基金会计账簿上的交易记录完全一致。如果实际交易记录与会计账簿记录不一致，造成基金会计核算不完整或不真实，由此导致的损失由基金管理人承担。</w:t>
      </w:r>
    </w:p>
    <w:p w14:paraId="2DDAEAAF" w14:textId="77777777" w:rsidR="005465E4" w:rsidRDefault="00EB5FF5">
      <w:pPr>
        <w:numPr>
          <w:ilvl w:val="0"/>
          <w:numId w:val="13"/>
        </w:numPr>
        <w:adjustRightInd w:val="0"/>
        <w:spacing w:line="360" w:lineRule="auto"/>
        <w:ind w:firstLine="420" w:firstLineChars="200" w:left="0"/>
        <w:rPr>
          <w:rFonts w:ascii="宋体" w:cs="Arial" w:hAnsi="宋体"/>
          <w:szCs w:val="21"/>
        </w:rPr>
      </w:pPr>
      <w:r>
        <w:rPr>
          <w:rFonts w:ascii="宋体" w:cs="Arial" w:hAnsi="宋体" w:hint="eastAsia"/>
          <w:szCs w:val="21"/>
        </w:rPr>
        <w:t>资金账目的核对</w:t>
      </w:r>
    </w:p>
    <w:p w14:paraId="4269FF1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资金账目由基金管理人与基金托管人按日核实，账实相符。</w:t>
      </w:r>
    </w:p>
    <w:p w14:paraId="776BBBB7" w14:textId="77777777" w:rsidR="005465E4" w:rsidRDefault="00EB5FF5">
      <w:pPr>
        <w:numPr>
          <w:ilvl w:val="0"/>
          <w:numId w:val="13"/>
        </w:numPr>
        <w:adjustRightInd w:val="0"/>
        <w:spacing w:line="360" w:lineRule="auto"/>
        <w:ind w:firstLine="420" w:firstLineChars="200" w:left="0"/>
        <w:rPr>
          <w:rFonts w:ascii="宋体" w:cs="Arial" w:hAnsi="宋体"/>
          <w:szCs w:val="21"/>
        </w:rPr>
      </w:pPr>
      <w:r>
        <w:rPr>
          <w:rFonts w:ascii="宋体" w:cs="Arial" w:hAnsi="宋体" w:hint="eastAsia"/>
          <w:szCs w:val="21"/>
        </w:rPr>
        <w:t>证券账目的核对</w:t>
      </w:r>
    </w:p>
    <w:p w14:paraId="7B0D5BA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基金管理人和基金托管人每交易日结束后核对基金证券账目，确保双方账目相符。</w:t>
      </w:r>
    </w:p>
    <w:p w14:paraId="4A831A52" w14:textId="77777777" w:rsidR="005465E4" w:rsidRDefault="00EB5FF5">
      <w:pPr>
        <w:numPr>
          <w:ilvl w:val="0"/>
          <w:numId w:val="13"/>
        </w:numPr>
        <w:adjustRightInd w:val="0"/>
        <w:spacing w:line="360" w:lineRule="auto"/>
        <w:ind w:firstLine="420" w:firstLineChars="200" w:left="0"/>
        <w:rPr>
          <w:rFonts w:ascii="宋体" w:cs="Arial" w:hAnsi="宋体"/>
          <w:szCs w:val="21"/>
        </w:rPr>
      </w:pPr>
      <w:r>
        <w:rPr>
          <w:rFonts w:ascii="宋体" w:cs="Arial" w:hAnsi="宋体" w:hint="eastAsia"/>
          <w:szCs w:val="21"/>
        </w:rPr>
        <w:t>基金管理人和基金托管人每月月末核对实物证券账目。</w:t>
      </w:r>
    </w:p>
    <w:p w14:paraId="22959C3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（三）基金申购和赎回业务处理的基本规定</w:t>
      </w:r>
    </w:p>
    <w:p w14:paraId="609707C7"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基金份额申购、赎回的确认、清算由基金管理人或其委托的登记机构负责。</w:t>
      </w:r>
    </w:p>
    <w:p w14:paraId="1D124BAA"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61ED8196"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基金管理人应保证本基金（或本基金管理人委托）的登记机构每个工作日</w:t>
      </w:r>
      <w:r>
        <w:rPr>
          <w:rFonts w:ascii="宋体" w:cs="Arial" w:hAnsi="宋体" w:hint="eastAsia"/>
          <w:szCs w:val="21"/>
        </w:rPr>
        <w:t>15:00</w:t>
      </w:r>
      <w:r>
        <w:rPr>
          <w:rFonts w:ascii="宋体" w:cs="Arial" w:hAnsi="宋体" w:hint="eastAsia"/>
          <w:szCs w:val="21"/>
        </w:rPr>
        <w:t>前向基金托管人发送前一开放日上述有关数据，并保证相关数据的准确、完整。</w:t>
      </w:r>
    </w:p>
    <w:p w14:paraId="6F91469C"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登记机构应通过与基金托管人建</w:t>
      </w:r>
      <w:r>
        <w:rPr>
          <w:rFonts w:ascii="宋体" w:cs="Arial" w:hAnsi="宋体" w:hint="eastAsia"/>
          <w:szCs w:val="21"/>
        </w:rPr>
        <w:t>立的加密系统发送有关数据，如因各种原因，该系统无法正常发送，双方可协商解决处理方式。基金管理人向基金托管人发送的数据，双方各自按有关规定保存。</w:t>
      </w:r>
    </w:p>
    <w:p w14:paraId="334EB6D3"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如基金管理人委托其他机构办理本基金的登记业务，应保证上述相关事宜按时进行。否则，由基金管理人承担相应的责任。</w:t>
      </w:r>
    </w:p>
    <w:p w14:paraId="6DC882B5"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关于清算专用账户的设立和管理</w:t>
      </w:r>
    </w:p>
    <w:p w14:paraId="404B539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为满足申购、赎回及分红资金汇划的需要，由基金管理人开立资金清算的专用账户，该账户由登记机构管理。</w:t>
      </w:r>
    </w:p>
    <w:p w14:paraId="24D288D2"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对于基金申购过程中产生的应收款，应由基金管理人负责与有关当事人确定到账日期并通知基金托管人，到账日应收款没有到达基金资金账户的，基</w:t>
      </w:r>
      <w:r>
        <w:rPr>
          <w:rFonts w:ascii="宋体" w:cs="Arial" w:hAnsi="宋体" w:hint="eastAsia"/>
          <w:szCs w:val="21"/>
        </w:rPr>
        <w:t>金托管人应及时通知基金管理人采取措施进行催收，由此造成基金损失的，基金管理人应负责向有关当事人追偿基金的损失。</w:t>
      </w:r>
    </w:p>
    <w:p w14:paraId="3BD7A646"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赎回和分红资金划拨规定</w:t>
      </w:r>
    </w:p>
    <w:p w14:paraId="5B1297E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拨付赎回款或进行基金分红时，如基金资金账户有足够的资金，基金托管人应按时拨付；因基金资金账户没有足够的资金，导致基金托管人不能按时拨付，如系非基金托管人的原因造成，责任由基金管理人承担，基金托管人不承担垫款义务。</w:t>
      </w:r>
    </w:p>
    <w:p w14:paraId="735B70C1" w14:textId="77777777" w:rsidR="005465E4" w:rsidRDefault="00EB5FF5">
      <w:pPr>
        <w:numPr>
          <w:ilvl w:val="0"/>
          <w:numId w:val="14"/>
        </w:numPr>
        <w:adjustRightInd w:val="0"/>
        <w:spacing w:line="360" w:lineRule="auto"/>
        <w:ind w:firstLine="420" w:firstLineChars="200" w:left="0"/>
        <w:rPr>
          <w:rFonts w:ascii="宋体" w:cs="Arial" w:hAnsi="宋体"/>
          <w:szCs w:val="21"/>
        </w:rPr>
      </w:pPr>
      <w:r>
        <w:rPr>
          <w:rFonts w:ascii="宋体" w:cs="Arial" w:hAnsi="宋体" w:hint="eastAsia"/>
          <w:szCs w:val="21"/>
        </w:rPr>
        <w:t>资金指令</w:t>
      </w:r>
    </w:p>
    <w:p w14:paraId="1601A08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除申购款项到达基金资金账户需双方按约定方式对账外，回购到期付款和与投资有关的付款、赎回和分红资金划拨时，基金管理人需向基金托管人下达指令。</w:t>
      </w:r>
    </w:p>
    <w:p w14:paraId="577799E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资金指令的格</w:t>
      </w:r>
      <w:r>
        <w:rPr>
          <w:rFonts w:ascii="宋体" w:cs="Arial" w:hAnsi="宋体" w:hint="eastAsia"/>
          <w:szCs w:val="21"/>
        </w:rPr>
        <w:t>式、内容、发送、接收和确认方式等与投资指令相同。</w:t>
      </w:r>
    </w:p>
    <w:p w14:paraId="22591F3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（四）申赎净额结算</w:t>
      </w:r>
    </w:p>
    <w:p w14:paraId="500F866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账户与“注册登记清算账户”间的资金清算遵循“净额清算、净额交收”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当日</w:t>
      </w:r>
      <w:r>
        <w:rPr>
          <w:rFonts w:ascii="宋体" w:cs="Arial" w:hAnsi="宋体" w:hint="eastAsia"/>
          <w:szCs w:val="21"/>
        </w:rPr>
        <w:t>15:00</w:t>
      </w:r>
      <w:r>
        <w:rPr>
          <w:rFonts w:ascii="宋体" w:cs="Arial" w:hAnsi="宋体" w:hint="eastAsia"/>
          <w:szCs w:val="21"/>
        </w:rPr>
        <w:t>前从“注册登记清算账户”划到基金托管账户，基金托管人在资金到账后应立即通知基金管理人进行账务处理；当存在托管</w:t>
      </w:r>
      <w:r>
        <w:rPr>
          <w:rFonts w:ascii="宋体" w:cs="Arial" w:hAnsi="宋体" w:hint="eastAsia"/>
          <w:szCs w:val="21"/>
        </w:rPr>
        <w:t>账户净应付额时，基金管理人应在当日</w:t>
      </w:r>
      <w:r>
        <w:rPr>
          <w:rFonts w:ascii="宋体" w:cs="Arial" w:hAnsi="宋体" w:hint="eastAsia"/>
          <w:szCs w:val="21"/>
        </w:rPr>
        <w:t>9</w:t>
      </w:r>
      <w:r>
        <w:rPr>
          <w:rFonts w:ascii="宋体" w:cs="Arial" w:hAnsi="宋体" w:hint="eastAsia"/>
          <w:szCs w:val="21"/>
        </w:rPr>
        <w:t>：</w:t>
      </w:r>
      <w:r>
        <w:rPr>
          <w:rFonts w:ascii="宋体" w:cs="Arial" w:hAnsi="宋体" w:hint="eastAsia"/>
          <w:szCs w:val="21"/>
        </w:rPr>
        <w:t>30</w:t>
      </w:r>
      <w:r>
        <w:rPr>
          <w:rFonts w:ascii="宋体" w:cs="Arial" w:hAnsi="宋体" w:hint="eastAsia"/>
          <w:szCs w:val="21"/>
        </w:rPr>
        <w:t>前将划款指令发送给基金托管人，基金托管行按管理人的划款指令将托管账户净应付额在当日</w:t>
      </w:r>
      <w:r>
        <w:rPr>
          <w:rFonts w:ascii="宋体" w:cs="Arial" w:hAnsi="宋体" w:hint="eastAsia"/>
          <w:szCs w:val="21"/>
        </w:rPr>
        <w:t>12:00</w:t>
      </w:r>
      <w:r>
        <w:rPr>
          <w:rFonts w:ascii="宋体" w:cs="Arial" w:hAnsi="宋体" w:hint="eastAsia"/>
          <w:szCs w:val="21"/>
        </w:rPr>
        <w:t>前划往“注册登记清算账户”，基金托管人在资金划出后立即通知基金管理人进行账务处理。</w:t>
      </w:r>
    </w:p>
    <w:p w14:paraId="7EA4F0B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如果当日基金为净应收款，对于因基金管理人的原因未准时到账的资金，由此产生的责任应由基金管理人承担。</w:t>
      </w:r>
    </w:p>
    <w:p w14:paraId="18B2A22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如果当日基金为净应付款，基金托管人应根据基金管理人的指令及时进行划付。对于因基金托管人的原因未准时划付的资金，基金管理人应及时通知基金托管人划付，由此产生的责任应由基金托管人承担。</w:t>
      </w:r>
    </w:p>
    <w:p w14:paraId="180267C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（五）基金转换</w:t>
      </w:r>
    </w:p>
    <w:p w14:paraId="2F5472C5" w14:textId="77777777" w:rsidR="005465E4" w:rsidRDefault="00EB5FF5">
      <w:pPr>
        <w:numPr>
          <w:ilvl w:val="0"/>
          <w:numId w:val="15"/>
        </w:numPr>
        <w:adjustRightInd w:val="0"/>
        <w:spacing w:line="360" w:lineRule="auto"/>
        <w:ind w:firstLine="420" w:firstLineChars="200" w:left="0"/>
        <w:rPr>
          <w:rFonts w:ascii="宋体" w:cs="Arial" w:hAnsi="宋体"/>
          <w:szCs w:val="21"/>
        </w:rPr>
      </w:pPr>
      <w:r>
        <w:rPr>
          <w:rFonts w:ascii="宋体" w:cs="Arial" w:hAnsi="宋体" w:hint="eastAsia"/>
          <w:szCs w:val="21"/>
        </w:rPr>
        <w:t>在本基金与基金管理人管理的其它基金开展转换业务之前，基金管理人应函告基金托管人并就相关事宜进行协商。</w:t>
      </w:r>
    </w:p>
    <w:p w14:paraId="55C3C6DB" w14:textId="77777777" w:rsidR="005465E4" w:rsidRDefault="00EB5FF5">
      <w:pPr>
        <w:numPr>
          <w:ilvl w:val="0"/>
          <w:numId w:val="15"/>
        </w:numPr>
        <w:adjustRightInd w:val="0"/>
        <w:spacing w:line="360" w:lineRule="auto"/>
        <w:ind w:firstLine="420" w:firstLineChars="200" w:left="0"/>
        <w:rPr>
          <w:rFonts w:ascii="宋体" w:cs="Arial" w:hAnsi="宋体"/>
          <w:szCs w:val="21"/>
        </w:rPr>
      </w:pPr>
      <w:r>
        <w:rPr>
          <w:rFonts w:ascii="宋体" w:cs="Arial" w:hAnsi="宋体" w:hint="eastAsia"/>
          <w:szCs w:val="21"/>
        </w:rPr>
        <w:t>基金托管人将根据基金管理人传送的基金转换数据进行账务处理，具体资金清算和数据传递的时间、程序及托管协议当事人承担的权责按基金管理人届时的公告执行。</w:t>
      </w:r>
    </w:p>
    <w:p w14:paraId="52B0B0D9" w14:textId="77777777" w:rsidR="005465E4" w:rsidRDefault="00EB5FF5">
      <w:pPr>
        <w:numPr>
          <w:ilvl w:val="0"/>
          <w:numId w:val="15"/>
        </w:numPr>
        <w:adjustRightInd w:val="0"/>
        <w:spacing w:line="360" w:lineRule="auto"/>
        <w:ind w:firstLine="420" w:firstLineChars="200" w:left="0"/>
        <w:rPr>
          <w:rFonts w:ascii="宋体" w:cs="Arial" w:hAnsi="宋体"/>
          <w:szCs w:val="21"/>
        </w:rPr>
      </w:pPr>
      <w:r>
        <w:rPr>
          <w:rFonts w:ascii="宋体" w:cs="Arial" w:hAnsi="宋体" w:hint="eastAsia"/>
          <w:szCs w:val="21"/>
        </w:rPr>
        <w:t>本基金开展基金转换业务应按相关法律法规规定及基金合同的约定进行公告。</w:t>
      </w:r>
    </w:p>
    <w:p w14:paraId="5F7D673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（六）基金现金分红</w:t>
      </w:r>
    </w:p>
    <w:p w14:paraId="68EEC3BC" w14:textId="77777777" w:rsidR="005465E4" w:rsidRDefault="00EB5FF5">
      <w:pPr>
        <w:numPr>
          <w:ilvl w:val="0"/>
          <w:numId w:val="16"/>
        </w:numPr>
        <w:adjustRightInd w:val="0"/>
        <w:spacing w:line="360" w:lineRule="auto"/>
        <w:ind w:firstLine="420" w:firstLineChars="200" w:left="0"/>
        <w:rPr>
          <w:rFonts w:ascii="宋体" w:cs="Arial" w:hAnsi="宋体"/>
          <w:szCs w:val="21"/>
        </w:rPr>
      </w:pPr>
      <w:r>
        <w:rPr>
          <w:rFonts w:ascii="宋体" w:cs="Arial" w:hAnsi="宋体" w:hint="eastAsia"/>
          <w:szCs w:val="21"/>
        </w:rPr>
        <w:t>基金管理人确定分红方案通知基金托管人，双方核定后依照《信息披露办法》的有关规定在中国证监会规定媒介上公告。</w:t>
      </w:r>
    </w:p>
    <w:p w14:paraId="2AD7FA0F" w14:textId="77777777" w:rsidR="005465E4" w:rsidRDefault="00EB5FF5">
      <w:pPr>
        <w:numPr>
          <w:ilvl w:val="0"/>
          <w:numId w:val="16"/>
        </w:numPr>
        <w:adjustRightInd w:val="0"/>
        <w:spacing w:line="360" w:lineRule="auto"/>
        <w:ind w:firstLine="420" w:firstLineChars="200" w:left="0"/>
        <w:rPr>
          <w:rFonts w:ascii="宋体" w:cs="Arial" w:hAnsi="宋体"/>
          <w:szCs w:val="21"/>
        </w:rPr>
      </w:pPr>
      <w:r>
        <w:rPr>
          <w:rFonts w:ascii="宋体" w:cs="Arial" w:hAnsi="宋体" w:hint="eastAsia"/>
          <w:szCs w:val="21"/>
        </w:rPr>
        <w:t>基金托管人和基金管理人对基金分红进行账务处理并核</w:t>
      </w:r>
      <w:r>
        <w:rPr>
          <w:rFonts w:ascii="宋体" w:cs="Arial" w:hAnsi="宋体" w:hint="eastAsia"/>
          <w:szCs w:val="21"/>
        </w:rPr>
        <w:t>对后，基金管理人向基金托管人发送现金红利的划款指令，基金托管人应及时将资金划入专用账户。</w:t>
      </w:r>
    </w:p>
    <w:p w14:paraId="3AA0E778" w14:textId="77777777" w:rsidR="005465E4" w:rsidRDefault="00EB5FF5">
      <w:pPr>
        <w:numPr>
          <w:ilvl w:val="0"/>
          <w:numId w:val="16"/>
        </w:numPr>
        <w:adjustRightInd w:val="0"/>
        <w:spacing w:line="360" w:lineRule="auto"/>
        <w:ind w:firstLine="420" w:firstLineChars="200" w:left="0"/>
        <w:rPr>
          <w:rFonts w:ascii="宋体" w:cs="Arial" w:hAnsi="宋体"/>
          <w:szCs w:val="21"/>
        </w:rPr>
      </w:pPr>
      <w:r>
        <w:rPr>
          <w:rFonts w:ascii="宋体" w:cs="Arial" w:hAnsi="宋体" w:hint="eastAsia"/>
          <w:szCs w:val="21"/>
        </w:rPr>
        <w:t>基金管理人在下达指令时，应给基金托管人留出必需的划款时间。</w:t>
      </w:r>
    </w:p>
    <w:p w14:paraId="49DCAE2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（七）期货交易及清算交收</w:t>
      </w:r>
    </w:p>
    <w:p w14:paraId="3211D38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所选择的期货公司或负责办理基金资产的期货交易的清算交割；基金管理人应责成其选择的期货公司对发送的数据的准确性、完整性、真实性负责。基金管理人、基金托管人以及期货公司应另行签署《期货投资托管操作备忘录》，约定基金资产在期货投资运作中的职责及义务。</w:t>
      </w:r>
    </w:p>
    <w:p w14:paraId="70EDA9B4" w14:textId="77777777" w:rsidR="005465E4" w:rsidRDefault="00EB5FF5">
      <w:pPr>
        <w:pStyle w:val="1"/>
        <w:spacing w:after="0" w:before="0" w:line="360" w:lineRule="auto"/>
        <w:ind w:firstLine="422" w:firstLineChars="200"/>
        <w:jc w:val="center"/>
        <w:rPr>
          <w:rFonts w:ascii="宋体" w:hAnsi="宋体"/>
          <w:sz w:val="21"/>
          <w:szCs w:val="21"/>
        </w:rPr>
      </w:pPr>
      <w:bookmarkStart w:id="157" w:name="_Toc421108278"/>
      <w:bookmarkStart w:id="158" w:name="_Toc421108277"/>
      <w:bookmarkEnd w:id="157"/>
      <w:bookmarkEnd w:id="158"/>
      <w:r>
        <w:rPr>
          <w:rFonts w:ascii="宋体" w:cs="Arial" w:hAnsi="宋体"/>
          <w:sz w:val="21"/>
          <w:szCs w:val="21"/>
        </w:rPr>
        <w:br w:type="page"/>
      </w:r>
      <w:bookmarkStart w:id="159" w:name="_Toc295832951"/>
      <w:bookmarkStart w:id="160" w:name="_Toc295832644"/>
      <w:bookmarkStart w:id="161" w:name="_Toc295833011"/>
      <w:bookmarkStart w:id="162" w:name="_Toc295833682"/>
      <w:bookmarkStart w:id="163" w:name="_Toc66879686"/>
      <w:bookmarkStart w:id="164" w:name="_Toc270669859"/>
      <w:bookmarkStart w:id="165" w:name="_Toc124325892"/>
      <w:bookmarkEnd w:id="159"/>
      <w:bookmarkEnd w:id="160"/>
      <w:bookmarkEnd w:id="161"/>
      <w:bookmarkEnd w:id="162"/>
      <w:r>
        <w:rPr>
          <w:rFonts w:ascii="宋体" w:hAnsi="宋体" w:hint="eastAsia"/>
          <w:sz w:val="21"/>
          <w:szCs w:val="21"/>
        </w:rPr>
        <w:t>八、基金资产净值计算和会计核算</w:t>
      </w:r>
      <w:bookmarkEnd w:id="163"/>
      <w:bookmarkEnd w:id="164"/>
      <w:bookmarkEnd w:id="165"/>
    </w:p>
    <w:p w14:paraId="6894444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（一）基金资产净值的计算、复核与完成的时间及程</w:t>
      </w:r>
      <w:r>
        <w:rPr>
          <w:rFonts w:ascii="宋体" w:cs="Arial" w:hAnsi="宋体" w:hint="eastAsia"/>
          <w:szCs w:val="21"/>
        </w:rPr>
        <w:t>序</w:t>
      </w:r>
    </w:p>
    <w:p w14:paraId="1B0CCC49" w14:textId="77777777" w:rsidR="005465E4" w:rsidRDefault="00EB5FF5">
      <w:pPr>
        <w:numPr>
          <w:ilvl w:val="0"/>
          <w:numId w:val="17"/>
        </w:numPr>
        <w:adjustRightInd w:val="0"/>
        <w:spacing w:line="360" w:lineRule="auto"/>
        <w:ind w:firstLine="420" w:firstLineChars="200" w:left="0"/>
        <w:rPr>
          <w:rFonts w:ascii="宋体" w:cs="Arial" w:hAnsi="宋体"/>
          <w:szCs w:val="21"/>
        </w:rPr>
      </w:pPr>
      <w:r>
        <w:rPr>
          <w:rFonts w:ascii="宋体" w:cs="Arial" w:hAnsi="宋体" w:hint="eastAsia"/>
          <w:szCs w:val="21"/>
        </w:rPr>
        <w:t>基金资产净值</w:t>
      </w:r>
    </w:p>
    <w:p w14:paraId="5505DA9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基金资产净值是指基金资产总值减去基金负债后的价值。</w:t>
      </w:r>
    </w:p>
    <w:p w14:paraId="5C9FDD65" w14:textId="77777777" w:rsidR="005465E4" w:rsidRDefault="00EB5FF5">
      <w:pPr>
        <w:adjustRightInd w:val="0"/>
        <w:spacing w:line="360" w:lineRule="auto"/>
        <w:ind w:firstLine="420" w:firstLineChars="200"/>
        <w:rPr>
          <w:bCs/>
          <w:szCs w:val="21"/>
        </w:rPr>
      </w:pPr>
      <w:r>
        <w:rPr>
          <w:bCs/>
          <w:szCs w:val="21"/>
        </w:rPr>
        <w:t>基金份额净值是按照每个</w:t>
      </w:r>
      <w:r>
        <w:rPr>
          <w:rFonts w:hint="eastAsia"/>
          <w:bCs/>
          <w:szCs w:val="21"/>
        </w:rPr>
        <w:t>估值</w:t>
      </w:r>
      <w:r>
        <w:rPr>
          <w:bCs/>
          <w:szCs w:val="21"/>
        </w:rPr>
        <w:t>日闭市后，基金资产净值除以当日基金份额的余额数量计算，基金份额净值</w:t>
      </w:r>
      <w:r>
        <w:rPr>
          <w:rFonts w:hint="eastAsia"/>
          <w:bCs/>
          <w:szCs w:val="21"/>
        </w:rPr>
        <w:t>均</w:t>
      </w:r>
      <w:r>
        <w:rPr>
          <w:bCs/>
          <w:szCs w:val="21"/>
        </w:rPr>
        <w:t>精确到</w:t>
      </w:r>
      <w:r>
        <w:rPr>
          <w:rFonts w:hint="eastAsia"/>
          <w:bCs/>
          <w:szCs w:val="21"/>
        </w:rPr>
        <w:t>0.0001</w:t>
      </w:r>
      <w:r>
        <w:rPr>
          <w:bCs/>
          <w:szCs w:val="21"/>
        </w:rPr>
        <w:t>元，小数点后第</w:t>
      </w:r>
      <w:r>
        <w:rPr>
          <w:rFonts w:hint="eastAsia"/>
          <w:bCs/>
          <w:szCs w:val="21"/>
        </w:rPr>
        <w:t>5</w:t>
      </w:r>
      <w:r>
        <w:rPr>
          <w:bCs/>
          <w:szCs w:val="21"/>
        </w:rPr>
        <w:t>位四舍五入。国家另有规定的，从其规定。</w:t>
      </w:r>
    </w:p>
    <w:p w14:paraId="7BFD664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基金管理人每个</w:t>
      </w:r>
      <w:r>
        <w:rPr>
          <w:rFonts w:hint="eastAsia"/>
          <w:bCs/>
          <w:szCs w:val="21"/>
        </w:rPr>
        <w:t>估值</w:t>
      </w:r>
      <w:r>
        <w:rPr>
          <w:bCs/>
          <w:szCs w:val="21"/>
        </w:rPr>
        <w:t>日</w:t>
      </w:r>
      <w:r>
        <w:rPr>
          <w:rFonts w:ascii="宋体" w:cs="Arial" w:hAnsi="宋体" w:hint="eastAsia"/>
          <w:szCs w:val="21"/>
        </w:rPr>
        <w:t>计算基金资产净值及基金份额净值，经基金托管人复核，并按规定公告。</w:t>
      </w:r>
    </w:p>
    <w:p w14:paraId="43496B90" w14:textId="77777777" w:rsidR="005465E4" w:rsidRDefault="00EB5FF5">
      <w:pPr>
        <w:numPr>
          <w:ilvl w:val="0"/>
          <w:numId w:val="17"/>
        </w:numPr>
        <w:adjustRightInd w:val="0"/>
        <w:spacing w:line="360" w:lineRule="auto"/>
        <w:ind w:firstLine="420" w:firstLineChars="200" w:left="0"/>
        <w:rPr>
          <w:rFonts w:ascii="宋体" w:cs="Arial" w:hAnsi="宋体"/>
          <w:szCs w:val="21"/>
        </w:rPr>
      </w:pPr>
      <w:r>
        <w:rPr>
          <w:rFonts w:ascii="宋体" w:cs="Arial" w:hAnsi="宋体" w:hint="eastAsia"/>
          <w:szCs w:val="21"/>
        </w:rPr>
        <w:t>复核程序</w:t>
      </w:r>
    </w:p>
    <w:p w14:paraId="72B04EF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基金管理人每</w:t>
      </w:r>
      <w:r>
        <w:rPr>
          <w:rFonts w:hint="eastAsia"/>
          <w:bCs/>
          <w:szCs w:val="21"/>
        </w:rPr>
        <w:t>估值</w:t>
      </w:r>
      <w:r>
        <w:rPr>
          <w:bCs/>
          <w:szCs w:val="21"/>
        </w:rPr>
        <w:t>日</w:t>
      </w:r>
      <w:r>
        <w:rPr>
          <w:rFonts w:ascii="宋体" w:cs="Arial" w:hAnsi="宋体" w:hint="eastAsia"/>
          <w:szCs w:val="21"/>
        </w:rPr>
        <w:t>对基金资产进行估值后，将基金份额净值结果以双方约定的方式提交给基金托管人，经基金托管人复核无误后，以约定的方式将复核结果提交给基金管理人，由基金管理人依据基金合同和有关法律法规对外公布。</w:t>
      </w:r>
    </w:p>
    <w:p w14:paraId="70D19FBC" w14:textId="77777777" w:rsidR="005465E4" w:rsidRDefault="00EB5FF5">
      <w:pPr>
        <w:numPr>
          <w:ilvl w:val="0"/>
          <w:numId w:val="17"/>
        </w:numPr>
        <w:adjustRightInd w:val="0"/>
        <w:spacing w:line="360" w:lineRule="auto"/>
        <w:ind w:firstLine="420" w:firstLineChars="200" w:left="0"/>
        <w:rPr>
          <w:rFonts w:ascii="宋体" w:cs="Arial" w:hAnsi="宋体"/>
          <w:szCs w:val="21"/>
        </w:rPr>
      </w:pPr>
      <w:r>
        <w:rPr>
          <w:rFonts w:ascii="宋体" w:cs="Arial" w:hAnsi="宋体"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净值信息的计算结果对外予以公布。</w:t>
      </w:r>
    </w:p>
    <w:p w14:paraId="34E9D90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（二）基金资产估值方法和特殊情形的处理</w:t>
      </w:r>
    </w:p>
    <w:p w14:paraId="0A377A0C" w14:textId="77777777" w:rsidR="005465E4" w:rsidRDefault="00EB5FF5">
      <w:pPr>
        <w:numPr>
          <w:ilvl w:val="0"/>
          <w:numId w:val="18"/>
        </w:numPr>
        <w:adjustRightInd w:val="0"/>
        <w:spacing w:line="360" w:lineRule="auto"/>
        <w:ind w:firstLine="420" w:firstLineChars="200" w:left="0"/>
        <w:rPr>
          <w:rFonts w:ascii="宋体" w:cs="Arial" w:hAnsi="宋体"/>
          <w:szCs w:val="21"/>
        </w:rPr>
      </w:pPr>
      <w:r>
        <w:rPr>
          <w:rFonts w:ascii="宋体" w:cs="Arial" w:hAnsi="宋体" w:hint="eastAsia"/>
          <w:szCs w:val="21"/>
        </w:rPr>
        <w:t>估值对象</w:t>
      </w:r>
    </w:p>
    <w:p w14:paraId="0D51E10D" w14:textId="77777777" w:rsidR="005465E4" w:rsidRDefault="00EB5FF5">
      <w:pPr>
        <w:adjustRightInd w:val="0"/>
        <w:spacing w:line="360" w:lineRule="auto"/>
        <w:ind w:firstLine="420" w:firstLineChars="200"/>
        <w:rPr>
          <w:bCs/>
          <w:szCs w:val="21"/>
        </w:rPr>
      </w:pPr>
      <w:r>
        <w:rPr>
          <w:bCs/>
          <w:szCs w:val="21"/>
        </w:rPr>
        <w:t>基金所拥有的目标</w:t>
      </w:r>
      <w:r>
        <w:rPr>
          <w:bCs/>
          <w:szCs w:val="21"/>
        </w:rPr>
        <w:t>E</w:t>
      </w:r>
      <w:r>
        <w:rPr>
          <w:bCs/>
          <w:szCs w:val="21"/>
        </w:rPr>
        <w:t>TF</w:t>
      </w:r>
      <w:r>
        <w:rPr>
          <w:bCs/>
          <w:szCs w:val="21"/>
        </w:rPr>
        <w:t>份额、股票、债券和银行存款本息、应收款项、其它投资等资产及负债。</w:t>
      </w:r>
    </w:p>
    <w:p w14:paraId="1933562A" w14:textId="77777777" w:rsidR="005465E4" w:rsidRDefault="00EB5FF5">
      <w:pPr>
        <w:numPr>
          <w:ilvl w:val="0"/>
          <w:numId w:val="18"/>
        </w:numPr>
        <w:adjustRightInd w:val="0"/>
        <w:spacing w:line="360" w:lineRule="auto"/>
        <w:ind w:firstLine="420" w:firstLineChars="200" w:left="0"/>
        <w:rPr>
          <w:rFonts w:ascii="宋体" w:cs="Arial" w:hAnsi="宋体"/>
          <w:szCs w:val="21"/>
        </w:rPr>
      </w:pPr>
      <w:r>
        <w:rPr>
          <w:rFonts w:ascii="宋体" w:cs="Arial" w:hAnsi="宋体" w:hint="eastAsia"/>
          <w:szCs w:val="21"/>
        </w:rPr>
        <w:t>估值方法</w:t>
      </w:r>
    </w:p>
    <w:p w14:paraId="617D43B3"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1</w:t>
      </w:r>
      <w:r>
        <w:rPr>
          <w:rFonts w:hint="eastAsia"/>
          <w:bCs/>
          <w:szCs w:val="21"/>
        </w:rPr>
        <w:t>）</w:t>
      </w:r>
      <w:r>
        <w:rPr>
          <w:bCs/>
          <w:szCs w:val="21"/>
        </w:rPr>
        <w:t>目标</w:t>
      </w:r>
      <w:r>
        <w:rPr>
          <w:bCs/>
          <w:szCs w:val="21"/>
        </w:rPr>
        <w:t>ETF</w:t>
      </w:r>
      <w:r>
        <w:rPr>
          <w:bCs/>
          <w:szCs w:val="21"/>
        </w:rPr>
        <w:t>估值方法</w:t>
      </w:r>
    </w:p>
    <w:p w14:paraId="1D9B1DF2" w14:textId="77777777" w:rsidR="005465E4" w:rsidRDefault="00EB5FF5">
      <w:pPr>
        <w:spacing w:line="360" w:lineRule="auto"/>
        <w:ind w:firstLine="420" w:firstLineChars="200"/>
        <w:rPr>
          <w:bCs/>
          <w:szCs w:val="21"/>
        </w:rPr>
      </w:pPr>
      <w:r>
        <w:rPr>
          <w:bCs/>
          <w:szCs w:val="21"/>
        </w:rPr>
        <w:t>本基金投资的目标</w:t>
      </w:r>
      <w:r>
        <w:rPr>
          <w:bCs/>
          <w:szCs w:val="21"/>
        </w:rPr>
        <w:t>ETF</w:t>
      </w:r>
      <w:r>
        <w:rPr>
          <w:bCs/>
          <w:szCs w:val="21"/>
        </w:rPr>
        <w:t>份额按照估值日目标</w:t>
      </w:r>
      <w:r>
        <w:rPr>
          <w:bCs/>
          <w:szCs w:val="21"/>
        </w:rPr>
        <w:t>ETF</w:t>
      </w:r>
      <w:r>
        <w:rPr>
          <w:bCs/>
          <w:szCs w:val="21"/>
        </w:rPr>
        <w:t>的基金份额净值估值。如果基金管理人认为按上述价格不能客观反映其公允价值的，基金管理人可根据具体情况与基金托管人协商后，按最能反映其公允价值的价格估值。</w:t>
      </w:r>
    </w:p>
    <w:p w14:paraId="62D88050"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2</w:t>
      </w:r>
      <w:r>
        <w:rPr>
          <w:rFonts w:hint="eastAsia"/>
          <w:bCs/>
          <w:szCs w:val="21"/>
        </w:rPr>
        <w:t>）</w:t>
      </w:r>
      <w:r>
        <w:rPr>
          <w:bCs/>
          <w:szCs w:val="21"/>
        </w:rPr>
        <w:t>证券交易所上市的有价证券的估值</w:t>
      </w:r>
    </w:p>
    <w:p w14:paraId="26BF6E22" w14:textId="77777777" w:rsidR="005465E4" w:rsidRDefault="00EB5FF5">
      <w:pPr>
        <w:spacing w:line="360" w:lineRule="auto"/>
        <w:ind w:firstLine="420" w:firstLineChars="200"/>
        <w:rPr>
          <w:bCs/>
          <w:szCs w:val="21"/>
        </w:rPr>
      </w:pPr>
      <w:r>
        <w:rPr>
          <w:rFonts w:hint="eastAsia"/>
          <w:bCs/>
          <w:szCs w:val="21"/>
        </w:rPr>
        <w:t>①</w:t>
      </w:r>
      <w:r>
        <w:rPr>
          <w:bCs/>
          <w:szCs w:val="21"/>
        </w:rPr>
        <w:t>交易所上市的有价证券（包括股票等），以其估值日在证券交易所挂牌的市价（收盘价）估值；估值日无交易的，且最近交易日后经济环境未发生重大变化或证券发行机构未发生影响证券价格</w:t>
      </w:r>
      <w:r>
        <w:rPr>
          <w:bCs/>
          <w:szCs w:val="21"/>
        </w:rPr>
        <w:t>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8F0C580" w14:textId="77777777" w:rsidR="005465E4" w:rsidRDefault="00EB5FF5">
      <w:pPr>
        <w:spacing w:line="360" w:lineRule="auto"/>
        <w:ind w:firstLine="420" w:firstLineChars="200"/>
        <w:rPr>
          <w:bCs/>
          <w:szCs w:val="21"/>
        </w:rPr>
      </w:pPr>
      <w:r>
        <w:rPr>
          <w:rFonts w:hint="eastAsia"/>
          <w:bCs/>
          <w:szCs w:val="21"/>
        </w:rPr>
        <w:t>②</w:t>
      </w:r>
      <w:r>
        <w:rPr>
          <w:bCs/>
          <w:szCs w:val="21"/>
        </w:rPr>
        <w:t>交易所上市交易或挂牌转让的不含权固定收益品种，选取估值日第三方估值机构提供的相应品种当日的估值净价进行估值。</w:t>
      </w:r>
    </w:p>
    <w:p w14:paraId="67D58D59" w14:textId="77777777" w:rsidR="005465E4" w:rsidRDefault="00EB5FF5">
      <w:pPr>
        <w:spacing w:line="360" w:lineRule="auto"/>
        <w:ind w:firstLine="420" w:firstLineChars="200"/>
        <w:rPr>
          <w:bCs/>
          <w:szCs w:val="21"/>
        </w:rPr>
      </w:pPr>
      <w:r>
        <w:rPr>
          <w:rFonts w:ascii="宋体" w:cs="宋体" w:hAnsi="宋体" w:hint="eastAsia"/>
          <w:bCs/>
          <w:szCs w:val="21"/>
        </w:rPr>
        <w:t>③</w:t>
      </w:r>
      <w:r>
        <w:rPr>
          <w:bCs/>
          <w:szCs w:val="21"/>
        </w:rPr>
        <w:t>交易所上市交易或挂牌转让的含权固定收益品种，选取估值日第三方估值机构提供的相应品种当日的估值净价或推荐估值净价进行估值。</w:t>
      </w:r>
    </w:p>
    <w:p w14:paraId="069C84F9" w14:textId="77777777" w:rsidR="005465E4" w:rsidRDefault="00EB5FF5">
      <w:pPr>
        <w:spacing w:line="360" w:lineRule="auto"/>
        <w:ind w:firstLine="420" w:firstLineChars="200"/>
        <w:rPr>
          <w:bCs/>
          <w:szCs w:val="21"/>
        </w:rPr>
      </w:pPr>
      <w:r>
        <w:rPr>
          <w:rFonts w:ascii="宋体" w:cs="宋体" w:hAnsi="宋体" w:hint="eastAsia"/>
          <w:bCs/>
          <w:szCs w:val="21"/>
        </w:rPr>
        <w:t>④</w:t>
      </w:r>
      <w:r>
        <w:rPr>
          <w:bCs/>
          <w:szCs w:val="21"/>
        </w:rPr>
        <w:t>交易所上市交易的可转换债券以每日收盘价作为估值全价。</w:t>
      </w:r>
    </w:p>
    <w:p w14:paraId="3DA5FEAD" w14:textId="77777777" w:rsidR="005465E4" w:rsidRDefault="00EB5FF5">
      <w:pPr>
        <w:spacing w:line="360" w:lineRule="auto"/>
        <w:ind w:firstLine="420" w:firstLineChars="200"/>
        <w:rPr>
          <w:bCs/>
          <w:szCs w:val="21"/>
        </w:rPr>
      </w:pPr>
      <w:r>
        <w:rPr>
          <w:rFonts w:ascii="宋体" w:cs="宋体" w:hAnsi="宋体" w:hint="eastAsia"/>
          <w:bCs/>
          <w:szCs w:val="21"/>
        </w:rPr>
        <w:t>⑤</w:t>
      </w:r>
      <w:r>
        <w:rPr>
          <w:bCs/>
          <w:szCs w:val="21"/>
        </w:rPr>
        <w:t>交易所上市不</w:t>
      </w:r>
      <w:r>
        <w:rPr>
          <w:bCs/>
          <w:szCs w:val="21"/>
        </w:rPr>
        <w:t>存在活跃市场的有价证券，采用估值技术确定公允价值。交易所市场挂牌转让的资产支持证券，采用估值技术确定公允价值。</w:t>
      </w:r>
    </w:p>
    <w:p w14:paraId="242811DC"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3</w:t>
      </w:r>
      <w:r>
        <w:rPr>
          <w:rFonts w:hint="eastAsia"/>
          <w:bCs/>
          <w:szCs w:val="21"/>
        </w:rPr>
        <w:t>）</w:t>
      </w:r>
      <w:r>
        <w:rPr>
          <w:bCs/>
          <w:szCs w:val="21"/>
        </w:rPr>
        <w:t>处于未上市期间的有价证券应区分如下情况处理：</w:t>
      </w:r>
    </w:p>
    <w:p w14:paraId="3041E4B0" w14:textId="77777777" w:rsidR="005465E4" w:rsidRDefault="00EB5FF5">
      <w:pPr>
        <w:spacing w:line="360" w:lineRule="auto"/>
        <w:ind w:firstLine="420" w:firstLineChars="200"/>
        <w:rPr>
          <w:bCs/>
          <w:szCs w:val="21"/>
        </w:rPr>
      </w:pPr>
      <w:r>
        <w:rPr>
          <w:rFonts w:hint="eastAsia"/>
          <w:bCs/>
          <w:szCs w:val="21"/>
        </w:rPr>
        <w:t>①</w:t>
      </w:r>
      <w:r>
        <w:rPr>
          <w:bCs/>
          <w:szCs w:val="21"/>
        </w:rPr>
        <w:t>送股、转增股、配股和公开增发的新股，按估值日在证券交易所挂牌的同一股票的估值方法估值；该日无交易的，以最近一日的市价（收盘价）估值。</w:t>
      </w:r>
    </w:p>
    <w:p w14:paraId="6AEEFD84" w14:textId="77777777" w:rsidR="005465E4" w:rsidRDefault="00EB5FF5">
      <w:pPr>
        <w:spacing w:line="360" w:lineRule="auto"/>
        <w:ind w:firstLine="420" w:firstLineChars="200"/>
        <w:rPr>
          <w:bCs/>
          <w:szCs w:val="21"/>
        </w:rPr>
      </w:pPr>
      <w:r>
        <w:rPr>
          <w:rFonts w:ascii="宋体" w:cs="宋体" w:hAnsi="宋体" w:hint="eastAsia"/>
          <w:bCs/>
          <w:szCs w:val="21"/>
        </w:rPr>
        <w:t>②</w:t>
      </w:r>
      <w:r>
        <w:rPr>
          <w:bCs/>
          <w:szCs w:val="21"/>
        </w:rPr>
        <w:t>首次公开发行未上市的股票、债券，采用估值技术确定公允价值，在估值技术难以可靠计量公允价值的情况下，按成本估值。</w:t>
      </w:r>
    </w:p>
    <w:p w14:paraId="6D809907" w14:textId="77777777" w:rsidR="005465E4" w:rsidRDefault="00EB5FF5">
      <w:pPr>
        <w:spacing w:line="360" w:lineRule="auto"/>
        <w:ind w:firstLine="420" w:firstLineChars="200"/>
        <w:rPr>
          <w:bCs/>
          <w:szCs w:val="21"/>
        </w:rPr>
      </w:pPr>
      <w:r>
        <w:rPr>
          <w:rFonts w:ascii="宋体" w:cs="宋体" w:hAnsi="宋体" w:hint="eastAsia"/>
          <w:bCs/>
          <w:szCs w:val="21"/>
        </w:rPr>
        <w:t>③</w:t>
      </w:r>
      <w:r>
        <w:rPr>
          <w:bCs/>
          <w:szCs w:val="21"/>
        </w:rPr>
        <w:t>在发行时明确一定期限限售期的股票，包括但不限于非公开发行股票、首次公开发行股票时公司股东公开发售</w:t>
      </w:r>
      <w:r>
        <w:rPr>
          <w:bCs/>
          <w:szCs w:val="21"/>
        </w:rPr>
        <w:t>股份、通过大宗交易取得的带限售期的股票等，不包括停牌、新发行未上市、回购交易中的质押券等流通受限股票，按监管机构或行业协会有关规定确定公允价值。</w:t>
      </w:r>
    </w:p>
    <w:p w14:paraId="797B86EB" w14:textId="77777777" w:rsidR="005465E4" w:rsidRDefault="00EB5FF5">
      <w:pPr>
        <w:spacing w:line="360" w:lineRule="auto"/>
        <w:ind w:firstLine="420" w:firstLineChars="200"/>
        <w:rPr>
          <w:bCs/>
          <w:szCs w:val="21"/>
        </w:rPr>
      </w:pPr>
      <w:r>
        <w:rPr>
          <w:rFonts w:ascii="宋体" w:cs="宋体" w:hAnsi="宋体" w:hint="eastAsia"/>
          <w:bCs/>
          <w:szCs w:val="21"/>
        </w:rPr>
        <w:t>④</w:t>
      </w:r>
      <w:r>
        <w:rPr>
          <w:bCs/>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12F3DC6F"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4</w:t>
      </w:r>
      <w:r>
        <w:rPr>
          <w:rFonts w:hint="eastAsia"/>
          <w:bCs/>
          <w:szCs w:val="21"/>
        </w:rPr>
        <w:t>）</w:t>
      </w:r>
      <w:r>
        <w:rPr>
          <w:bCs/>
          <w:szCs w:val="21"/>
        </w:rPr>
        <w:t>对全国银行间市场上不含权的固定收益品种，按照第三方估值机构提供的相应品种当</w:t>
      </w:r>
      <w:r>
        <w:rPr>
          <w:bCs/>
          <w:szCs w:val="21"/>
        </w:rPr>
        <w:t>日的估值净价估值。对银行间市场上含权的固定收益品种，按照第三方估值机构提供的相应品种当日的估值净价或推荐估值净价估值。对于含投资人回售权的固定收益品种，回售登记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305C59EE"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5</w:t>
      </w:r>
      <w:r>
        <w:rPr>
          <w:rFonts w:hint="eastAsia"/>
          <w:bCs/>
          <w:szCs w:val="21"/>
        </w:rPr>
        <w:t>）</w:t>
      </w:r>
      <w:r>
        <w:rPr>
          <w:bCs/>
          <w:szCs w:val="21"/>
        </w:rPr>
        <w:t>存款的估值方法</w:t>
      </w:r>
    </w:p>
    <w:p w14:paraId="61F2BD80" w14:textId="77777777" w:rsidR="005465E4" w:rsidRDefault="00EB5FF5">
      <w:pPr>
        <w:spacing w:line="360" w:lineRule="auto"/>
        <w:ind w:firstLine="420" w:firstLineChars="200"/>
        <w:rPr>
          <w:bCs/>
          <w:szCs w:val="21"/>
        </w:rPr>
      </w:pPr>
      <w:r>
        <w:rPr>
          <w:bCs/>
          <w:szCs w:val="21"/>
        </w:rPr>
        <w:t>持有的银行定期存款或通知存款以本金列示，按协议或合同利率逐日确认利息收入。</w:t>
      </w:r>
    </w:p>
    <w:p w14:paraId="385CC0A0"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6</w:t>
      </w:r>
      <w:r>
        <w:rPr>
          <w:rFonts w:hint="eastAsia"/>
          <w:bCs/>
          <w:szCs w:val="21"/>
        </w:rPr>
        <w:t>）</w:t>
      </w:r>
      <w:r>
        <w:rPr>
          <w:bCs/>
          <w:szCs w:val="21"/>
        </w:rPr>
        <w:t>投资证券衍生品的估值方法</w:t>
      </w:r>
    </w:p>
    <w:p w14:paraId="59568DE5" w14:textId="77777777" w:rsidR="005465E4" w:rsidRDefault="00EB5FF5">
      <w:pPr>
        <w:spacing w:line="360" w:lineRule="auto"/>
        <w:ind w:firstLine="420" w:firstLineChars="200"/>
        <w:rPr>
          <w:bCs/>
          <w:szCs w:val="21"/>
        </w:rPr>
      </w:pPr>
      <w:r>
        <w:rPr>
          <w:rFonts w:ascii="宋体" w:cs="宋体" w:hAnsi="宋体" w:hint="eastAsia"/>
          <w:bCs/>
          <w:szCs w:val="21"/>
        </w:rPr>
        <w:t>①</w:t>
      </w:r>
      <w:r>
        <w:rPr>
          <w:bCs/>
          <w:szCs w:val="21"/>
        </w:rPr>
        <w:t>因持有股票而享有的配股权，采用估值技术确定公允价值进行估值。在估值技术难以可靠计量公允价值的情况下，按成本进行估值。</w:t>
      </w:r>
    </w:p>
    <w:p w14:paraId="688E66E0" w14:textId="77777777" w:rsidR="005465E4" w:rsidRDefault="00EB5FF5">
      <w:pPr>
        <w:spacing w:line="360" w:lineRule="auto"/>
        <w:ind w:firstLine="420" w:firstLineChars="200"/>
        <w:rPr>
          <w:bCs/>
          <w:szCs w:val="21"/>
        </w:rPr>
      </w:pPr>
      <w:r>
        <w:rPr>
          <w:rFonts w:ascii="宋体" w:cs="宋体" w:hAnsi="宋体" w:hint="eastAsia"/>
          <w:bCs/>
          <w:szCs w:val="21"/>
        </w:rPr>
        <w:t>②</w:t>
      </w:r>
      <w:r>
        <w:rPr>
          <w:bCs/>
          <w:szCs w:val="21"/>
        </w:rPr>
        <w:t>股指期货合约和国债期货合约，一般以估值当日结算价进行，估值当日无结算价的，且最近交易日后经济环境未发生重大变化的，采用最近交易日结算价估值。</w:t>
      </w:r>
    </w:p>
    <w:p w14:paraId="3A0D93AA" w14:textId="77777777" w:rsidR="005465E4" w:rsidRDefault="00EB5FF5">
      <w:pPr>
        <w:spacing w:line="360" w:lineRule="auto"/>
        <w:ind w:firstLine="420" w:firstLineChars="200"/>
        <w:rPr>
          <w:bCs/>
          <w:szCs w:val="21"/>
        </w:rPr>
      </w:pPr>
      <w:r>
        <w:rPr>
          <w:rFonts w:ascii="宋体" w:cs="宋体" w:hAnsi="宋体" w:hint="eastAsia"/>
          <w:bCs/>
          <w:szCs w:val="21"/>
        </w:rPr>
        <w:t>③</w:t>
      </w:r>
      <w:r>
        <w:rPr>
          <w:bCs/>
          <w:szCs w:val="21"/>
        </w:rPr>
        <w:t>本基金投资股票期权，根据相关法律法规以及监管部门的规定估值。</w:t>
      </w:r>
    </w:p>
    <w:p w14:paraId="35E6B700"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7</w:t>
      </w:r>
      <w:r>
        <w:rPr>
          <w:rFonts w:hint="eastAsia"/>
          <w:bCs/>
          <w:szCs w:val="21"/>
        </w:rPr>
        <w:t>）</w:t>
      </w:r>
      <w:r>
        <w:rPr>
          <w:bCs/>
          <w:szCs w:val="21"/>
        </w:rPr>
        <w:t>本基金参与转融通证券出借业务的，按照相关法律法规和行业协会的相关规定进行估值。</w:t>
      </w:r>
    </w:p>
    <w:p w14:paraId="6F075775"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8</w:t>
      </w:r>
      <w:r>
        <w:rPr>
          <w:rFonts w:hint="eastAsia"/>
          <w:bCs/>
          <w:szCs w:val="21"/>
        </w:rPr>
        <w:t>）</w:t>
      </w:r>
      <w:r>
        <w:rPr>
          <w:bCs/>
          <w:szCs w:val="21"/>
        </w:rPr>
        <w:t>本基金可以采用第三方估值机构按照上述公允价值确定原则提供的估值价格数据。</w:t>
      </w:r>
    </w:p>
    <w:p w14:paraId="07B32941"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9</w:t>
      </w:r>
      <w:r>
        <w:rPr>
          <w:rFonts w:hint="eastAsia"/>
          <w:bCs/>
          <w:szCs w:val="21"/>
        </w:rPr>
        <w:t>）</w:t>
      </w:r>
      <w:r>
        <w:rPr>
          <w:bCs/>
          <w:szCs w:val="21"/>
        </w:rPr>
        <w:t>本基金投资存</w:t>
      </w:r>
      <w:r>
        <w:rPr>
          <w:bCs/>
          <w:szCs w:val="21"/>
        </w:rPr>
        <w:t>托凭证的估值核算，依照境内上市交易的股票执行。</w:t>
      </w:r>
    </w:p>
    <w:p w14:paraId="7F425EED"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10</w:t>
      </w:r>
      <w:r>
        <w:rPr>
          <w:rFonts w:hint="eastAsia"/>
          <w:bCs/>
          <w:szCs w:val="21"/>
        </w:rPr>
        <w:t>）</w:t>
      </w:r>
      <w:r>
        <w:rPr>
          <w:bCs/>
          <w:szCs w:val="21"/>
        </w:rPr>
        <w:t>如有确凿证据表明按上述方法进行估值不能客观反映其公允价值的，基金管理人可根据具体情况与基金托管人商定后，按最能反映公允价值的价格估值。</w:t>
      </w:r>
    </w:p>
    <w:p w14:paraId="3040B2C5"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11</w:t>
      </w:r>
      <w:r>
        <w:rPr>
          <w:rFonts w:hint="eastAsia"/>
          <w:bCs/>
          <w:szCs w:val="21"/>
        </w:rPr>
        <w:t>）</w:t>
      </w:r>
      <w:r>
        <w:rPr>
          <w:bCs/>
          <w:szCs w:val="21"/>
        </w:rPr>
        <w:t>当本基金发生大额申购或赎回情形时，基金管理人可以采用摆动定价机制，以确保基金估值的公平性。</w:t>
      </w:r>
    </w:p>
    <w:p w14:paraId="3D16EF08"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12</w:t>
      </w:r>
      <w:r>
        <w:rPr>
          <w:rFonts w:hint="eastAsia"/>
          <w:bCs/>
          <w:szCs w:val="21"/>
        </w:rPr>
        <w:t>）</w:t>
      </w:r>
      <w:r>
        <w:rPr>
          <w:bCs/>
          <w:szCs w:val="21"/>
        </w:rPr>
        <w:t>其他资产按法律法规或监管机构有关规定进行估值。</w:t>
      </w:r>
    </w:p>
    <w:p w14:paraId="33DCD9FA" w14:textId="77777777" w:rsidR="005465E4" w:rsidRDefault="00EB5FF5">
      <w:pPr>
        <w:spacing w:line="360" w:lineRule="auto"/>
        <w:ind w:firstLine="420" w:firstLineChars="200"/>
        <w:rPr>
          <w:bCs/>
          <w:szCs w:val="21"/>
        </w:rPr>
      </w:pPr>
      <w:r>
        <w:rPr>
          <w:rFonts w:hint="eastAsia"/>
          <w:bCs/>
          <w:szCs w:val="21"/>
        </w:rPr>
        <w:t>（</w:t>
      </w:r>
      <w:r>
        <w:rPr>
          <w:rFonts w:hint="eastAsia"/>
          <w:bCs/>
          <w:szCs w:val="21"/>
        </w:rPr>
        <w:t>13</w:t>
      </w:r>
      <w:r>
        <w:rPr>
          <w:rFonts w:hint="eastAsia"/>
          <w:bCs/>
          <w:szCs w:val="21"/>
        </w:rPr>
        <w:t>）</w:t>
      </w:r>
      <w:r>
        <w:rPr>
          <w:bCs/>
          <w:szCs w:val="21"/>
        </w:rPr>
        <w:t>相关法律法规以及监管部门有强制规定的，从其规定。如有新增事项，按国家最新规定估值。</w:t>
      </w:r>
    </w:p>
    <w:p w14:paraId="3AA31E04" w14:textId="77777777" w:rsidR="005465E4" w:rsidRDefault="00EB5FF5">
      <w:pPr>
        <w:spacing w:line="360" w:lineRule="auto"/>
        <w:ind w:firstLine="420" w:firstLineChars="200"/>
        <w:rPr>
          <w:bCs/>
          <w:szCs w:val="21"/>
        </w:rPr>
      </w:pPr>
      <w:r>
        <w:rPr>
          <w:bCs/>
          <w:szCs w:val="21"/>
        </w:rPr>
        <w:t>如基金管理人或基金托管人发现基金估值违反基金合同订明的估值方法、程序及相</w:t>
      </w:r>
      <w:r>
        <w:rPr>
          <w:bCs/>
          <w:szCs w:val="21"/>
        </w:rPr>
        <w:t>关法律法规的规定或者未能充分维护基金份额持有人利益时，应立即通知对方，共同查明原因，双方协商解决。</w:t>
      </w:r>
    </w:p>
    <w:p w14:paraId="1EC36343" w14:textId="77777777" w:rsidR="005465E4" w:rsidRDefault="00EB5FF5">
      <w:pPr>
        <w:spacing w:line="360" w:lineRule="auto"/>
        <w:ind w:firstLine="420" w:firstLineChars="200"/>
        <w:rPr>
          <w:bCs/>
          <w:szCs w:val="21"/>
        </w:rPr>
      </w:pPr>
      <w:r>
        <w:rPr>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净值信息的计算结果对外予以公布。</w:t>
      </w:r>
    </w:p>
    <w:p w14:paraId="48C3B2B8" w14:textId="77777777" w:rsidR="005465E4" w:rsidRDefault="00EB5FF5">
      <w:pPr>
        <w:numPr>
          <w:ilvl w:val="0"/>
          <w:numId w:val="18"/>
        </w:numPr>
        <w:adjustRightInd w:val="0"/>
        <w:spacing w:line="360" w:lineRule="auto"/>
        <w:ind w:firstLine="420" w:firstLineChars="200" w:left="0"/>
        <w:rPr>
          <w:rFonts w:ascii="宋体" w:cs="Arial" w:hAnsi="宋体"/>
          <w:szCs w:val="21"/>
        </w:rPr>
      </w:pPr>
      <w:r>
        <w:rPr>
          <w:rFonts w:ascii="宋体" w:cs="Arial" w:hAnsi="宋体" w:hint="eastAsia"/>
          <w:szCs w:val="21"/>
        </w:rPr>
        <w:t>特殊情形的处理</w:t>
      </w:r>
    </w:p>
    <w:p w14:paraId="16AC0B39"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）基金管理人或基金托管人按估值方法的第（</w:t>
      </w:r>
      <w:r>
        <w:rPr>
          <w:rFonts w:ascii="宋体" w:hAnsi="宋体" w:hint="eastAsia"/>
          <w:bCs/>
          <w:szCs w:val="21"/>
        </w:rPr>
        <w:t>10</w:t>
      </w:r>
      <w:r>
        <w:rPr>
          <w:rFonts w:ascii="宋体" w:hAnsi="宋体" w:hint="eastAsia"/>
          <w:bCs/>
          <w:szCs w:val="21"/>
        </w:rPr>
        <w:t>）项进行估值时，所造成的误差不作为基金资产估值错误处理。</w:t>
      </w:r>
    </w:p>
    <w:p w14:paraId="61373D08"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w:t>
      </w:r>
      <w:r>
        <w:rPr>
          <w:rFonts w:ascii="宋体" w:hAnsi="宋体" w:hint="eastAsia"/>
          <w:bCs/>
          <w:szCs w:val="21"/>
        </w:rPr>
        <w:t>2</w:t>
      </w:r>
      <w:r>
        <w:rPr>
          <w:rFonts w:ascii="宋体" w:hAnsi="宋体" w:hint="eastAsia"/>
          <w:bCs/>
          <w:szCs w:val="21"/>
        </w:rPr>
        <w:t>）由于证券交易所、期货交易所</w:t>
      </w:r>
      <w:r>
        <w:rPr>
          <w:rFonts w:ascii="宋体" w:hAnsi="宋体"/>
          <w:bCs/>
          <w:szCs w:val="21"/>
        </w:rPr>
        <w:t>、</w:t>
      </w:r>
      <w:r>
        <w:rPr>
          <w:rFonts w:ascii="宋体" w:hAnsi="宋体" w:hint="eastAsia"/>
          <w:bCs/>
          <w:szCs w:val="21"/>
        </w:rPr>
        <w:t>登记结算公司</w:t>
      </w:r>
      <w:r>
        <w:rPr>
          <w:rFonts w:ascii="宋体" w:hAnsi="宋体"/>
          <w:bCs/>
          <w:szCs w:val="21"/>
        </w:rPr>
        <w:t>及第三方估值机构</w:t>
      </w:r>
      <w:r>
        <w:rPr>
          <w:rFonts w:ascii="宋体" w:hAnsi="宋体" w:hint="eastAsia"/>
          <w:bCs/>
          <w:szCs w:val="21"/>
        </w:rPr>
        <w:t>发送的数据错误，有关会计制度变化或由于其他不可抗力原因，基金管理人和基金托管人虽然已经采取必要、适当、合理的措施进行检查，但是未能发现该错误而造成的基金份额净值计算错误，基金管理人、基金托管人免除赔偿责任。但基金管理人、基金托管人应积极采取必要的措施减轻或消除由此造成的影响。</w:t>
      </w:r>
    </w:p>
    <w:p w14:paraId="1F2D4602"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（三）基金份额净值错误的处理方式</w:t>
      </w:r>
    </w:p>
    <w:p w14:paraId="26E375FF" w14:textId="77777777" w:rsidR="005465E4" w:rsidRDefault="00EB5FF5">
      <w:pPr>
        <w:spacing w:line="360" w:lineRule="auto"/>
        <w:ind w:firstLine="420" w:firstLineChars="200"/>
        <w:rPr>
          <w:rFonts w:ascii="宋体" w:hAnsi="宋体"/>
          <w:bCs/>
          <w:szCs w:val="21"/>
        </w:rPr>
      </w:pPr>
      <w:r>
        <w:rPr>
          <w:rFonts w:ascii="宋体" w:hAnsi="宋体"/>
          <w:bCs/>
          <w:szCs w:val="21"/>
        </w:rPr>
        <w:t>基金管理人和基金托管人将采取必要、适当、合理的措施确保基金资产估值的准确性、及时性。当基金份额净值小数点后</w:t>
      </w:r>
      <w:r>
        <w:rPr>
          <w:rFonts w:ascii="宋体" w:hAnsi="宋体"/>
          <w:bCs/>
          <w:szCs w:val="21"/>
        </w:rPr>
        <w:t>4</w:t>
      </w:r>
      <w:r>
        <w:rPr>
          <w:rFonts w:ascii="宋体" w:hAnsi="宋体"/>
          <w:bCs/>
          <w:szCs w:val="21"/>
        </w:rPr>
        <w:t>位以内</w:t>
      </w:r>
      <w:r>
        <w:rPr>
          <w:rFonts w:ascii="宋体" w:hAnsi="宋体"/>
          <w:bCs/>
          <w:szCs w:val="21"/>
        </w:rPr>
        <w:t>(</w:t>
      </w:r>
      <w:r>
        <w:rPr>
          <w:rFonts w:ascii="宋体" w:hAnsi="宋体"/>
          <w:bCs/>
          <w:szCs w:val="21"/>
        </w:rPr>
        <w:t>含第</w:t>
      </w:r>
      <w:r>
        <w:rPr>
          <w:rFonts w:ascii="宋体" w:hAnsi="宋体"/>
          <w:bCs/>
          <w:szCs w:val="21"/>
        </w:rPr>
        <w:t>4</w:t>
      </w:r>
      <w:r>
        <w:rPr>
          <w:rFonts w:ascii="宋体" w:hAnsi="宋体"/>
          <w:bCs/>
          <w:szCs w:val="21"/>
        </w:rPr>
        <w:t>位</w:t>
      </w:r>
      <w:r>
        <w:rPr>
          <w:rFonts w:ascii="宋体" w:hAnsi="宋体"/>
          <w:bCs/>
          <w:szCs w:val="21"/>
        </w:rPr>
        <w:t>)</w:t>
      </w:r>
      <w:r>
        <w:rPr>
          <w:rFonts w:ascii="宋体" w:hAnsi="宋体"/>
          <w:bCs/>
          <w:szCs w:val="21"/>
        </w:rPr>
        <w:t>发生估值错误时，视为基金份额净值错误。</w:t>
      </w:r>
    </w:p>
    <w:p w14:paraId="7F32851C" w14:textId="77777777" w:rsidR="005465E4" w:rsidRDefault="00EB5FF5">
      <w:pPr>
        <w:spacing w:line="360" w:lineRule="auto"/>
        <w:ind w:firstLine="420" w:firstLineChars="200"/>
        <w:rPr>
          <w:rFonts w:ascii="宋体" w:hAnsi="宋体"/>
          <w:bCs/>
          <w:szCs w:val="21"/>
        </w:rPr>
      </w:pPr>
      <w:r>
        <w:rPr>
          <w:rFonts w:ascii="宋体" w:hAnsi="宋体"/>
          <w:bCs/>
          <w:szCs w:val="21"/>
        </w:rPr>
        <w:t>本基金</w:t>
      </w:r>
      <w:r>
        <w:rPr>
          <w:rFonts w:ascii="宋体" w:hAnsi="宋体"/>
          <w:bCs/>
          <w:szCs w:val="21"/>
        </w:rPr>
        <w:t>合同的当事人应按照以下约定处理：</w:t>
      </w:r>
    </w:p>
    <w:p w14:paraId="50297C55" w14:textId="77777777" w:rsidR="005465E4" w:rsidRDefault="00EB5FF5">
      <w:pPr>
        <w:spacing w:line="360" w:lineRule="auto"/>
        <w:ind w:firstLine="420" w:firstLineChars="200"/>
        <w:rPr>
          <w:rFonts w:ascii="宋体" w:hAnsi="宋体"/>
          <w:bCs/>
          <w:szCs w:val="21"/>
        </w:rPr>
      </w:pPr>
      <w:r>
        <w:rPr>
          <w:rFonts w:ascii="宋体" w:hAnsi="宋体"/>
          <w:bCs/>
          <w:szCs w:val="21"/>
        </w:rPr>
        <w:t>1</w:t>
      </w:r>
      <w:r>
        <w:rPr>
          <w:rFonts w:ascii="宋体" w:hAnsi="宋体"/>
          <w:bCs/>
          <w:szCs w:val="21"/>
        </w:rPr>
        <w:t>、估值错误类型</w:t>
      </w:r>
    </w:p>
    <w:p w14:paraId="629397C7" w14:textId="77777777" w:rsidR="005465E4" w:rsidRDefault="00EB5FF5">
      <w:pPr>
        <w:spacing w:line="360" w:lineRule="auto"/>
        <w:ind w:firstLine="420" w:firstLineChars="200"/>
        <w:rPr>
          <w:rFonts w:ascii="宋体" w:hAnsi="宋体"/>
          <w:bCs/>
          <w:szCs w:val="21"/>
        </w:rPr>
      </w:pPr>
      <w:r>
        <w:rPr>
          <w:rFonts w:ascii="宋体" w:hAnsi="宋体"/>
          <w:bCs/>
          <w:szCs w:val="21"/>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宋体" w:hAnsi="宋体"/>
          <w:bCs/>
          <w:szCs w:val="21"/>
        </w:rPr>
        <w:t>(“</w:t>
      </w:r>
      <w:r>
        <w:rPr>
          <w:rFonts w:ascii="宋体" w:hAnsi="宋体"/>
          <w:bCs/>
          <w:szCs w:val="21"/>
        </w:rPr>
        <w:t>受损方</w:t>
      </w:r>
      <w:r>
        <w:rPr>
          <w:rFonts w:ascii="宋体" w:hAnsi="宋体"/>
          <w:bCs/>
          <w:szCs w:val="21"/>
        </w:rPr>
        <w:t>”)</w:t>
      </w:r>
      <w:r>
        <w:rPr>
          <w:rFonts w:ascii="宋体" w:hAnsi="宋体"/>
          <w:bCs/>
          <w:szCs w:val="21"/>
        </w:rPr>
        <w:t>的直接损失按下述</w:t>
      </w:r>
      <w:r>
        <w:rPr>
          <w:rFonts w:ascii="宋体" w:hAnsi="宋体"/>
          <w:bCs/>
          <w:szCs w:val="21"/>
        </w:rPr>
        <w:t>“</w:t>
      </w:r>
      <w:r>
        <w:rPr>
          <w:rFonts w:ascii="宋体" w:hAnsi="宋体"/>
          <w:bCs/>
          <w:szCs w:val="21"/>
        </w:rPr>
        <w:t>估值错误处理原则</w:t>
      </w:r>
      <w:r>
        <w:rPr>
          <w:rFonts w:ascii="宋体" w:hAnsi="宋体"/>
          <w:bCs/>
          <w:szCs w:val="21"/>
        </w:rPr>
        <w:t>”</w:t>
      </w:r>
      <w:r>
        <w:rPr>
          <w:rFonts w:ascii="宋体" w:hAnsi="宋体"/>
          <w:bCs/>
          <w:szCs w:val="21"/>
        </w:rPr>
        <w:t>给予赔偿，承担赔偿责任。</w:t>
      </w:r>
    </w:p>
    <w:p w14:paraId="53329165" w14:textId="77777777" w:rsidR="005465E4" w:rsidRDefault="00EB5FF5">
      <w:pPr>
        <w:spacing w:line="360" w:lineRule="auto"/>
        <w:ind w:firstLine="420" w:firstLineChars="200"/>
        <w:rPr>
          <w:rFonts w:ascii="宋体" w:hAnsi="宋体"/>
          <w:bCs/>
          <w:szCs w:val="21"/>
        </w:rPr>
      </w:pPr>
      <w:r>
        <w:rPr>
          <w:rFonts w:ascii="宋体" w:hAnsi="宋体"/>
          <w:bCs/>
          <w:szCs w:val="21"/>
        </w:rPr>
        <w:t>上述估值错误的主要类型包括但不限于：资料申报差错、数据传输差错、数据计算差错、系统故障差错、下达指令差错等。</w:t>
      </w:r>
    </w:p>
    <w:p w14:paraId="5600C34E" w14:textId="77777777" w:rsidR="005465E4" w:rsidRDefault="00EB5FF5">
      <w:pPr>
        <w:spacing w:line="360" w:lineRule="auto"/>
        <w:ind w:firstLine="420" w:firstLineChars="200"/>
        <w:rPr>
          <w:rFonts w:ascii="宋体" w:hAnsi="宋体"/>
          <w:bCs/>
          <w:szCs w:val="21"/>
        </w:rPr>
      </w:pPr>
      <w:r>
        <w:rPr>
          <w:rFonts w:ascii="宋体" w:hAnsi="宋体"/>
          <w:bCs/>
          <w:szCs w:val="21"/>
        </w:rPr>
        <w:t>2</w:t>
      </w:r>
      <w:r>
        <w:rPr>
          <w:rFonts w:ascii="宋体" w:hAnsi="宋体"/>
          <w:bCs/>
          <w:szCs w:val="21"/>
        </w:rPr>
        <w:t>、估值错误处理原则</w:t>
      </w:r>
    </w:p>
    <w:p w14:paraId="76516B96"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1</w:t>
      </w:r>
      <w:r>
        <w:rPr>
          <w:rFonts w:ascii="宋体" w:hAnsi="宋体"/>
          <w:bCs/>
          <w:szCs w:val="21"/>
        </w:rPr>
        <w:t>）估值错误已发生，但尚未给当事人造成损失时，估值错误责任方应及时协调各</w:t>
      </w:r>
      <w:r>
        <w:rPr>
          <w:rFonts w:ascii="宋体" w:hAnsi="宋体"/>
          <w:bCs/>
          <w:szCs w:val="21"/>
        </w:rPr>
        <w:t>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w:t>
      </w:r>
    </w:p>
    <w:p w14:paraId="2C995B0B"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2</w:t>
      </w:r>
      <w:r>
        <w:rPr>
          <w:rFonts w:ascii="宋体" w:hAnsi="宋体"/>
          <w:bCs/>
          <w:szCs w:val="21"/>
        </w:rPr>
        <w:t>）估值错误的责任方对有关当事人的直接损失负责，不对间接损失负责，并且仅对估值错误的有关直接当事人负责，不对第三方负责。</w:t>
      </w:r>
    </w:p>
    <w:p w14:paraId="12469116"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3</w:t>
      </w:r>
      <w:r>
        <w:rPr>
          <w:rFonts w:ascii="宋体" w:hAnsi="宋体"/>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宋体" w:hAnsi="宋体"/>
          <w:bCs/>
          <w:szCs w:val="21"/>
        </w:rPr>
        <w:t>(“</w:t>
      </w:r>
      <w:r>
        <w:rPr>
          <w:rFonts w:ascii="宋体" w:hAnsi="宋体"/>
          <w:bCs/>
          <w:szCs w:val="21"/>
        </w:rPr>
        <w:t>受损方</w:t>
      </w:r>
      <w:r>
        <w:rPr>
          <w:rFonts w:ascii="宋体" w:hAnsi="宋体"/>
          <w:bCs/>
          <w:szCs w:val="21"/>
        </w:rPr>
        <w:t>”)</w:t>
      </w:r>
      <w:r>
        <w:rPr>
          <w:rFonts w:ascii="宋体" w:hAnsi="宋体"/>
          <w:bCs/>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838B589"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4</w:t>
      </w:r>
      <w:r>
        <w:rPr>
          <w:rFonts w:ascii="宋体" w:hAnsi="宋体"/>
          <w:bCs/>
          <w:szCs w:val="21"/>
        </w:rPr>
        <w:t>）估值错误调整采用尽量恢复至假设</w:t>
      </w:r>
      <w:r>
        <w:rPr>
          <w:rFonts w:ascii="宋体" w:hAnsi="宋体"/>
          <w:bCs/>
          <w:szCs w:val="21"/>
        </w:rPr>
        <w:t>未发生估值错误的正确情形的方式。</w:t>
      </w:r>
    </w:p>
    <w:p w14:paraId="7299199D" w14:textId="77777777" w:rsidR="005465E4" w:rsidRDefault="00EB5FF5">
      <w:pPr>
        <w:spacing w:line="360" w:lineRule="auto"/>
        <w:ind w:firstLine="420" w:firstLineChars="200"/>
        <w:rPr>
          <w:rFonts w:ascii="宋体" w:hAnsi="宋体"/>
          <w:bCs/>
          <w:szCs w:val="21"/>
        </w:rPr>
      </w:pPr>
      <w:r>
        <w:rPr>
          <w:rFonts w:ascii="宋体" w:hAnsi="宋体"/>
          <w:bCs/>
          <w:szCs w:val="21"/>
        </w:rPr>
        <w:t>3</w:t>
      </w:r>
      <w:r>
        <w:rPr>
          <w:rFonts w:ascii="宋体" w:hAnsi="宋体"/>
          <w:bCs/>
          <w:szCs w:val="21"/>
        </w:rPr>
        <w:t>、估值错误处理程序</w:t>
      </w:r>
    </w:p>
    <w:p w14:paraId="76789BDC" w14:textId="77777777" w:rsidR="005465E4" w:rsidRDefault="00EB5FF5">
      <w:pPr>
        <w:spacing w:line="360" w:lineRule="auto"/>
        <w:ind w:firstLine="420" w:firstLineChars="200"/>
        <w:rPr>
          <w:rFonts w:ascii="宋体" w:hAnsi="宋体"/>
          <w:bCs/>
          <w:szCs w:val="21"/>
        </w:rPr>
      </w:pPr>
      <w:r>
        <w:rPr>
          <w:rFonts w:ascii="宋体" w:hAnsi="宋体"/>
          <w:bCs/>
          <w:szCs w:val="21"/>
        </w:rPr>
        <w:t>估值错误被发现后，有关的当事人应当及时进行处理，处理的程序如下：</w:t>
      </w:r>
    </w:p>
    <w:p w14:paraId="0C0042A2"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1</w:t>
      </w:r>
      <w:r>
        <w:rPr>
          <w:rFonts w:ascii="宋体" w:hAnsi="宋体"/>
          <w:bCs/>
          <w:szCs w:val="21"/>
        </w:rPr>
        <w:t>）查明估值错误发生的原因，列明所有的当事人，并根据估值错误发生的原因确定估值错误的责任方；</w:t>
      </w:r>
    </w:p>
    <w:p w14:paraId="0108F023"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2</w:t>
      </w:r>
      <w:r>
        <w:rPr>
          <w:rFonts w:ascii="宋体" w:hAnsi="宋体"/>
          <w:bCs/>
          <w:szCs w:val="21"/>
        </w:rPr>
        <w:t>）根据估值错误处理原则或当事人协商的方法对因估值错误造成的损失进行评估；</w:t>
      </w:r>
    </w:p>
    <w:p w14:paraId="4EF1136E"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3</w:t>
      </w:r>
      <w:r>
        <w:rPr>
          <w:rFonts w:ascii="宋体" w:hAnsi="宋体"/>
          <w:bCs/>
          <w:szCs w:val="21"/>
        </w:rPr>
        <w:t>）根据估值错误处理原则或当事人协商的方法由估值错误的责任方进行更正和赔偿损失；</w:t>
      </w:r>
    </w:p>
    <w:p w14:paraId="11833CF4" w14:textId="77777777" w:rsidR="005465E4" w:rsidRDefault="00EB5FF5">
      <w:pPr>
        <w:spacing w:line="360" w:lineRule="auto"/>
        <w:ind w:firstLine="420" w:firstLineChars="200"/>
        <w:rPr>
          <w:rFonts w:ascii="宋体" w:hAnsi="宋体"/>
          <w:bCs/>
          <w:szCs w:val="21"/>
        </w:rPr>
      </w:pPr>
      <w:r>
        <w:rPr>
          <w:rFonts w:ascii="宋体" w:hAnsi="宋体"/>
          <w:bCs/>
          <w:szCs w:val="21"/>
        </w:rPr>
        <w:t>（</w:t>
      </w:r>
      <w:r>
        <w:rPr>
          <w:rFonts w:ascii="宋体" w:hAnsi="宋体"/>
          <w:bCs/>
          <w:szCs w:val="21"/>
        </w:rPr>
        <w:t>4</w:t>
      </w:r>
      <w:r>
        <w:rPr>
          <w:rFonts w:ascii="宋体" w:hAnsi="宋体"/>
          <w:bCs/>
          <w:szCs w:val="21"/>
        </w:rPr>
        <w:t>）根据估值错误处理的方法，需要修改基金登记机构交易数据的，由基金登记机构进行更正。</w:t>
      </w:r>
    </w:p>
    <w:p w14:paraId="72C62159"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4</w:t>
      </w:r>
      <w:r>
        <w:rPr>
          <w:rFonts w:ascii="宋体" w:hAnsi="宋体"/>
          <w:bCs/>
          <w:szCs w:val="21"/>
        </w:rPr>
        <w:t>、基金份额净值估值错误处理的方法如下：</w:t>
      </w:r>
    </w:p>
    <w:p w14:paraId="35FA42D4"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w:t>
      </w:r>
      <w:r>
        <w:rPr>
          <w:rFonts w:ascii="宋体" w:hAnsi="宋体"/>
          <w:bCs/>
          <w:szCs w:val="21"/>
        </w:rPr>
        <w:t>1</w:t>
      </w:r>
      <w:r>
        <w:rPr>
          <w:rFonts w:ascii="宋体" w:hAnsi="宋体"/>
          <w:bCs/>
          <w:szCs w:val="21"/>
        </w:rPr>
        <w:t>）基金份额净值计算出现错误时，基金管理人应当立即予以纠正，通报基金托管人，并采取合理的措施防止损失进一步扩大。</w:t>
      </w:r>
    </w:p>
    <w:p w14:paraId="5CE27D48"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w:t>
      </w:r>
      <w:r>
        <w:rPr>
          <w:rFonts w:ascii="宋体" w:hAnsi="宋体"/>
          <w:bCs/>
          <w:szCs w:val="21"/>
        </w:rPr>
        <w:t>2</w:t>
      </w:r>
      <w:r>
        <w:rPr>
          <w:rFonts w:ascii="宋体" w:hAnsi="宋体"/>
          <w:bCs/>
          <w:szCs w:val="21"/>
        </w:rPr>
        <w:t>）错误偏差达到基金份额净值的</w:t>
      </w:r>
      <w:r>
        <w:rPr>
          <w:rFonts w:ascii="宋体" w:hAnsi="宋体"/>
          <w:bCs/>
          <w:szCs w:val="21"/>
        </w:rPr>
        <w:t>0.25%</w:t>
      </w:r>
      <w:r>
        <w:rPr>
          <w:rFonts w:ascii="宋体" w:hAnsi="宋体"/>
          <w:bCs/>
          <w:szCs w:val="21"/>
        </w:rPr>
        <w:t>时，基金管理人应当通报基金托管人并报中国证监会备案；错误偏差达到基金份额净值的</w:t>
      </w:r>
      <w:r>
        <w:rPr>
          <w:rFonts w:ascii="宋体" w:hAnsi="宋体"/>
          <w:bCs/>
          <w:szCs w:val="21"/>
        </w:rPr>
        <w:t>0.5%</w:t>
      </w:r>
      <w:r>
        <w:rPr>
          <w:rFonts w:ascii="宋体" w:hAnsi="宋体"/>
          <w:bCs/>
          <w:szCs w:val="21"/>
        </w:rPr>
        <w:t>时，基金管理人应当公告，并报中国证监会备案。</w:t>
      </w:r>
    </w:p>
    <w:p w14:paraId="77ED0AD2" w14:textId="77777777" w:rsidR="005465E4" w:rsidRDefault="00EB5FF5">
      <w:pPr>
        <w:adjustRightInd w:val="0"/>
        <w:spacing w:line="360" w:lineRule="auto"/>
        <w:ind w:firstLine="420" w:firstLineChars="200"/>
        <w:rPr>
          <w:rFonts w:ascii="宋体" w:hAnsi="宋体"/>
          <w:bCs/>
          <w:szCs w:val="21"/>
        </w:rPr>
      </w:pPr>
      <w:bookmarkStart w:id="166" w:name="_Hlk65741625"/>
      <w:r>
        <w:rPr>
          <w:rFonts w:ascii="宋体" w:hAnsi="宋体" w:hint="eastAsia"/>
          <w:bCs/>
          <w:szCs w:val="21"/>
        </w:rPr>
        <w:t>（</w:t>
      </w:r>
      <w:r>
        <w:rPr>
          <w:rFonts w:ascii="宋体" w:hAnsi="宋体"/>
          <w:bCs/>
          <w:szCs w:val="21"/>
        </w:rPr>
        <w:t>3</w:t>
      </w:r>
      <w:r>
        <w:rPr>
          <w:rFonts w:ascii="宋体" w:hAnsi="宋体" w:hint="eastAsia"/>
          <w:bCs/>
          <w:szCs w:val="21"/>
        </w:rPr>
        <w:t>）当基金份额净值计算差错给基金和基金份额持有人造成损失需要进行赔偿时，基金管理人和基金托管人应根据实际情况界定双方承担的责任，经确认后按以下条款进行赔偿：</w:t>
      </w:r>
    </w:p>
    <w:p w14:paraId="5BC5080F"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①本基金的基金会计责任方由基金管理人担任，与本基金有关的会计问题</w:t>
      </w:r>
      <w:r>
        <w:rPr>
          <w:rFonts w:ascii="宋体" w:hAnsi="宋体" w:hint="eastAsia"/>
          <w:bCs/>
          <w:szCs w:val="21"/>
        </w:rPr>
        <w:t>，如经双方在平等基础上充分讨论后，尚不能达成一致时，按基金管理人的建议执行，由此给基金份额持有人和基金财产造成的损失，由基金管理人负责赔付。</w:t>
      </w:r>
    </w:p>
    <w:p w14:paraId="30D30556"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②若基金管理人计算的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者或基金支付的赔偿金额，基金管理人与基金托管人</w:t>
      </w:r>
      <w:bookmarkStart w:id="167" w:name="_Hlk65744917"/>
      <w:r>
        <w:rPr>
          <w:rFonts w:ascii="宋体" w:hAnsi="宋体" w:hint="eastAsia"/>
          <w:bCs/>
          <w:szCs w:val="21"/>
        </w:rPr>
        <w:t>按照管理费和托管费的比例各自承担相应的责任</w:t>
      </w:r>
      <w:bookmarkEnd w:id="167"/>
      <w:r>
        <w:rPr>
          <w:rFonts w:ascii="宋体" w:hAnsi="宋体" w:hint="eastAsia"/>
          <w:bCs/>
          <w:szCs w:val="21"/>
        </w:rPr>
        <w:t>。</w:t>
      </w:r>
    </w:p>
    <w:p w14:paraId="2A807E93"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③如基金管理人和基金托管人对基金份额净值的计算结果，虽</w:t>
      </w:r>
      <w:r>
        <w:rPr>
          <w:rFonts w:ascii="宋体" w:hAnsi="宋体" w:hint="eastAsia"/>
          <w:bCs/>
          <w:szCs w:val="21"/>
        </w:rPr>
        <w:t>然多次重新计算和核对，尚不能达成一致时，为避免不能按时公布基金份额净值的情形，以基金管理人的计算结果对外公布，由此给基金份额持有人和基金造成的损失，由基金管理人负责赔付。</w:t>
      </w:r>
    </w:p>
    <w:p w14:paraId="1E848813"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④由于基金管理人提供的信息错误（包括但不限于基金申购或赎回金额等），进而导致基金份额净值计算错误而引起的基金份额持有人和基金财产的损失，由基金管理人负责赔付。</w:t>
      </w:r>
    </w:p>
    <w:p w14:paraId="5D64FCFE"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w:t>
      </w:r>
      <w:r>
        <w:rPr>
          <w:rFonts w:ascii="宋体" w:hAnsi="宋体"/>
          <w:bCs/>
          <w:szCs w:val="21"/>
        </w:rPr>
        <w:t>4</w:t>
      </w:r>
      <w:r>
        <w:rPr>
          <w:rFonts w:ascii="宋体" w:hAnsi="宋体"/>
          <w:bCs/>
          <w:szCs w:val="21"/>
        </w:rPr>
        <w:t>）前述内容如法律法规或监管机关另有规定的，从其规定处理。</w:t>
      </w:r>
    </w:p>
    <w:bookmarkEnd w:id="166"/>
    <w:p w14:paraId="064A900B" w14:textId="77777777" w:rsidR="005465E4" w:rsidRDefault="00EB5FF5">
      <w:pPr>
        <w:adjustRightInd w:val="0"/>
        <w:spacing w:line="360" w:lineRule="auto"/>
        <w:ind w:firstLine="420" w:firstLineChars="200"/>
        <w:rPr>
          <w:rFonts w:ascii="宋体" w:hAnsi="宋体"/>
          <w:bCs/>
          <w:szCs w:val="21"/>
        </w:rPr>
      </w:pPr>
      <w:r>
        <w:rPr>
          <w:rFonts w:ascii="宋体" w:hAnsi="宋体" w:hint="eastAsia"/>
          <w:bCs/>
          <w:szCs w:val="21"/>
        </w:rPr>
        <w:t>（四）暂停估值的情形</w:t>
      </w:r>
    </w:p>
    <w:p w14:paraId="75849B75"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1</w:t>
      </w:r>
      <w:r>
        <w:rPr>
          <w:rFonts w:ascii="宋体" w:hAnsi="宋体"/>
          <w:bCs/>
          <w:szCs w:val="21"/>
        </w:rPr>
        <w:t>、基金投资所涉及的证券</w:t>
      </w:r>
      <w:r>
        <w:rPr>
          <w:rFonts w:ascii="宋体" w:hAnsi="宋体"/>
          <w:bCs/>
          <w:szCs w:val="21"/>
        </w:rPr>
        <w:t>/</w:t>
      </w:r>
      <w:r>
        <w:rPr>
          <w:rFonts w:ascii="宋体" w:hAnsi="宋体"/>
          <w:bCs/>
          <w:szCs w:val="21"/>
        </w:rPr>
        <w:t>期货交易市场遇法定节假日或因其他原因暂停营业时；</w:t>
      </w:r>
    </w:p>
    <w:p w14:paraId="7B4CD0CF"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2</w:t>
      </w:r>
      <w:r>
        <w:rPr>
          <w:rFonts w:ascii="宋体" w:hAnsi="宋体"/>
          <w:bCs/>
          <w:szCs w:val="21"/>
        </w:rPr>
        <w:t>、因不可抗力致使基</w:t>
      </w:r>
      <w:r>
        <w:rPr>
          <w:rFonts w:ascii="宋体" w:hAnsi="宋体"/>
          <w:bCs/>
          <w:szCs w:val="21"/>
        </w:rPr>
        <w:t>金管理人、基金托管人无法准确评估基金资产价值时；</w:t>
      </w:r>
    </w:p>
    <w:p w14:paraId="4CF39866"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3</w:t>
      </w:r>
      <w:r>
        <w:rPr>
          <w:rFonts w:ascii="宋体" w:hAnsi="宋体"/>
          <w:bCs/>
          <w:szCs w:val="21"/>
        </w:rPr>
        <w:t>、基金所投资的目标</w:t>
      </w:r>
      <w:r>
        <w:rPr>
          <w:rFonts w:ascii="宋体" w:hAnsi="宋体"/>
          <w:bCs/>
          <w:szCs w:val="21"/>
        </w:rPr>
        <w:t>ETF</w:t>
      </w:r>
      <w:r>
        <w:rPr>
          <w:rFonts w:ascii="宋体" w:hAnsi="宋体"/>
          <w:bCs/>
          <w:szCs w:val="21"/>
        </w:rPr>
        <w:t>暂停估值或暂停公告基金份额净值时；</w:t>
      </w:r>
    </w:p>
    <w:p w14:paraId="382A5CFE"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4</w:t>
      </w:r>
      <w:r>
        <w:rPr>
          <w:rFonts w:ascii="宋体" w:hAnsi="宋体"/>
          <w:bCs/>
          <w:szCs w:val="21"/>
        </w:rPr>
        <w:t>、当特定资产占前一估值日基金资产净值</w:t>
      </w:r>
      <w:r>
        <w:rPr>
          <w:rFonts w:ascii="宋体" w:hAnsi="宋体"/>
          <w:bCs/>
          <w:szCs w:val="21"/>
        </w:rPr>
        <w:t xml:space="preserve"> 50%</w:t>
      </w:r>
      <w:r>
        <w:rPr>
          <w:rFonts w:ascii="宋体" w:hAnsi="宋体"/>
          <w:bCs/>
          <w:szCs w:val="21"/>
        </w:rPr>
        <w:t>以上的，经与基金托管人协商</w:t>
      </w:r>
      <w:r>
        <w:rPr>
          <w:rFonts w:ascii="宋体" w:hAnsi="宋体" w:hint="eastAsia"/>
          <w:bCs/>
          <w:szCs w:val="21"/>
        </w:rPr>
        <w:t>确认后，基金管理人应当暂停估值</w:t>
      </w:r>
      <w:r>
        <w:rPr>
          <w:rFonts w:ascii="宋体" w:hAnsi="宋体"/>
          <w:bCs/>
          <w:szCs w:val="21"/>
        </w:rPr>
        <w:t>；</w:t>
      </w:r>
    </w:p>
    <w:p w14:paraId="4C3E513E" w14:textId="77777777" w:rsidR="005465E4" w:rsidRDefault="00EB5FF5">
      <w:pPr>
        <w:adjustRightInd w:val="0"/>
        <w:spacing w:line="360" w:lineRule="auto"/>
        <w:ind w:firstLine="420" w:firstLineChars="200"/>
        <w:rPr>
          <w:rFonts w:ascii="宋体" w:hAnsi="宋体"/>
          <w:bCs/>
          <w:szCs w:val="21"/>
        </w:rPr>
      </w:pPr>
      <w:r>
        <w:rPr>
          <w:rFonts w:ascii="宋体" w:hAnsi="宋体"/>
          <w:bCs/>
          <w:szCs w:val="21"/>
        </w:rPr>
        <w:t>5</w:t>
      </w:r>
      <w:r>
        <w:rPr>
          <w:rFonts w:ascii="宋体" w:hAnsi="宋体"/>
          <w:bCs/>
          <w:szCs w:val="21"/>
        </w:rPr>
        <w:t>、中国证监会和基金合同认定的其它情形。</w:t>
      </w:r>
    </w:p>
    <w:p w14:paraId="0DBF909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（五）基金会计制度</w:t>
      </w:r>
    </w:p>
    <w:p w14:paraId="091BAFC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按国家有关部门规定的会计制度执行。</w:t>
      </w:r>
    </w:p>
    <w:p w14:paraId="063234F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（六）基金账册的建立</w:t>
      </w:r>
    </w:p>
    <w:p w14:paraId="4F27986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基金管理人进行基金会计核算并编制基金财务会计报告。基金管理人、基金托管人分别独立地设置、记录和保管本基金的全套账册。基金托管人按规定制作相关账册并与基金管理人核对。若基金</w:t>
      </w:r>
      <w:r>
        <w:rPr>
          <w:rFonts w:ascii="宋体" w:cs="Arial" w:hAnsi="宋体" w:hint="eastAsia"/>
          <w:szCs w:val="21"/>
        </w:rPr>
        <w:t>管理人和基金托管人对会计处理方法存在分歧，应以基金管理人的处理方法为准。若当日核对不符，暂时无法查找到错账的原因而影响到基金净值的计算和公告的，以基金管理人的账册为准。</w:t>
      </w:r>
    </w:p>
    <w:p w14:paraId="3D0DFCE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（七）基金财务报表与报告的编制和复核</w:t>
      </w:r>
    </w:p>
    <w:p w14:paraId="5CAD370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1</w:t>
      </w:r>
      <w:r>
        <w:rPr>
          <w:rFonts w:ascii="宋体" w:cs="Arial" w:hAnsi="宋体" w:hint="eastAsia"/>
          <w:szCs w:val="21"/>
        </w:rPr>
        <w:t>、财务报表的编制</w:t>
      </w:r>
    </w:p>
    <w:p w14:paraId="7C2548C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基金财务报表由基金管理人编制，基金托管人复核。</w:t>
      </w:r>
    </w:p>
    <w:p w14:paraId="3D660BC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2</w:t>
      </w:r>
      <w:r>
        <w:rPr>
          <w:rFonts w:ascii="宋体" w:cs="Arial" w:hAnsi="宋体" w:hint="eastAsia"/>
          <w:szCs w:val="21"/>
        </w:rPr>
        <w:t>、报表复核</w:t>
      </w:r>
    </w:p>
    <w:p w14:paraId="0EDFAE1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应当按照相关法律、行政法规、中国证监会的规定和基金合同的约定，对基金管理人编制的基金资产净值、基金份额净值、基金份额申购赎回价格、基金定期报告、更新的招募说明书、基金产品资料概要、基金清算报告等公开披露的相关基金</w:t>
      </w:r>
      <w:r>
        <w:rPr>
          <w:rFonts w:ascii="宋体" w:cs="Arial" w:hAnsi="宋体" w:hint="eastAsia"/>
          <w:szCs w:val="21"/>
        </w:rPr>
        <w:t>信息进行复核、审查，并向基金管理人进行书面或电子确认。</w:t>
      </w:r>
    </w:p>
    <w:p w14:paraId="36264A1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3</w:t>
      </w:r>
      <w:r>
        <w:rPr>
          <w:rFonts w:ascii="宋体" w:cs="Arial" w:hAnsi="宋体" w:hint="eastAsia"/>
          <w:szCs w:val="21"/>
        </w:rPr>
        <w:t>、财务报表的编制与复核时间安排</w:t>
      </w:r>
    </w:p>
    <w:p w14:paraId="75F48AB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w:t>
      </w:r>
      <w:r>
        <w:rPr>
          <w:rFonts w:ascii="宋体" w:cs="Arial" w:hAnsi="宋体" w:hint="eastAsia"/>
          <w:szCs w:val="21"/>
        </w:rPr>
        <w:t>1</w:t>
      </w:r>
      <w:r>
        <w:rPr>
          <w:rFonts w:ascii="宋体" w:cs="Arial" w:hAnsi="宋体" w:hint="eastAsia"/>
          <w:szCs w:val="21"/>
        </w:rPr>
        <w:t>）报表的编制</w:t>
      </w:r>
    </w:p>
    <w:p w14:paraId="4179E00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基金管理人应当在每月结束后</w:t>
      </w:r>
      <w:r>
        <w:rPr>
          <w:rFonts w:ascii="宋体" w:cs="Arial" w:hAnsi="宋体" w:hint="eastAsia"/>
          <w:szCs w:val="21"/>
        </w:rPr>
        <w:t>5</w:t>
      </w:r>
      <w:r>
        <w:rPr>
          <w:rFonts w:ascii="宋体" w:cs="Arial" w:hAnsi="宋体" w:hint="eastAsia"/>
          <w:szCs w:val="21"/>
        </w:rPr>
        <w:t>个工作日内完成月度报表的编制；在季度结束之日起</w:t>
      </w:r>
      <w:r>
        <w:rPr>
          <w:rFonts w:ascii="宋体" w:cs="Arial" w:hAnsi="宋体" w:hint="eastAsia"/>
          <w:szCs w:val="21"/>
        </w:rPr>
        <w:t>15</w:t>
      </w:r>
      <w:r>
        <w:rPr>
          <w:rFonts w:ascii="宋体" w:cs="Arial" w:hAnsi="宋体" w:hint="eastAsia"/>
          <w:szCs w:val="21"/>
        </w:rPr>
        <w:t>个工作日内完成基金季度报告的编制；基金招募说明书、基金</w:t>
      </w:r>
      <w:r>
        <w:rPr>
          <w:rFonts w:ascii="宋体" w:cs="Arial" w:hAnsi="宋体"/>
          <w:szCs w:val="21"/>
        </w:rPr>
        <w:t>产品资料概要</w:t>
      </w:r>
      <w:r>
        <w:rPr>
          <w:rFonts w:ascii="宋体" w:cs="Arial" w:hAnsi="宋体" w:hint="eastAsia"/>
          <w:szCs w:val="21"/>
        </w:rPr>
        <w:t>的信息发生重大变更的，基金管理人应当在三个工作日内，更新基金招募说明书、基金</w:t>
      </w:r>
      <w:r>
        <w:rPr>
          <w:rFonts w:ascii="宋体" w:cs="Arial" w:hAnsi="宋体"/>
          <w:szCs w:val="21"/>
        </w:rPr>
        <w:t>产品资料概要</w:t>
      </w:r>
      <w:r>
        <w:rPr>
          <w:rFonts w:ascii="宋体" w:cs="Arial" w:hAnsi="宋体" w:hint="eastAsia"/>
          <w:szCs w:val="21"/>
        </w:rPr>
        <w:t>并登载在规定网站上；基金招募说明书、基金</w:t>
      </w:r>
      <w:r>
        <w:rPr>
          <w:rFonts w:ascii="宋体" w:cs="Arial" w:hAnsi="宋体"/>
          <w:szCs w:val="21"/>
        </w:rPr>
        <w:t>产品资料概要</w:t>
      </w:r>
      <w:r>
        <w:rPr>
          <w:rFonts w:ascii="宋体" w:cs="Arial" w:hAnsi="宋体" w:hint="eastAsia"/>
          <w:szCs w:val="21"/>
        </w:rPr>
        <w:t>其他信息发生变更的，基金管理人至少每年更新一次。基金终止运作的，基金管理人不再更新基金招募说明书、基金</w:t>
      </w:r>
      <w:r>
        <w:rPr>
          <w:rFonts w:ascii="宋体" w:cs="Arial" w:hAnsi="宋体"/>
          <w:szCs w:val="21"/>
        </w:rPr>
        <w:t>产品资料概要</w:t>
      </w:r>
      <w:r>
        <w:rPr>
          <w:rFonts w:ascii="宋体" w:cs="Arial" w:hAnsi="宋体" w:hint="eastAsia"/>
          <w:szCs w:val="21"/>
        </w:rPr>
        <w:t>。</w:t>
      </w:r>
      <w:r>
        <w:rPr>
          <w:rFonts w:ascii="宋体" w:cs="Arial" w:hAnsi="宋体"/>
          <w:szCs w:val="21"/>
        </w:rPr>
        <w:t>中期</w:t>
      </w:r>
      <w:r>
        <w:rPr>
          <w:rFonts w:ascii="宋体" w:cs="Arial" w:hAnsi="宋体"/>
          <w:szCs w:val="21"/>
        </w:rPr>
        <w:t>报告在上半年结束之日起</w:t>
      </w:r>
      <w:r>
        <w:rPr>
          <w:rFonts w:ascii="宋体" w:cs="Arial" w:hAnsi="宋体" w:hint="eastAsia"/>
          <w:szCs w:val="21"/>
        </w:rPr>
        <w:t>两个月内予以公告</w:t>
      </w:r>
      <w:r>
        <w:rPr>
          <w:rFonts w:ascii="宋体" w:cs="Arial" w:hAnsi="宋体"/>
          <w:szCs w:val="21"/>
        </w:rPr>
        <w:t>；年度报告在每年结束之日起</w:t>
      </w:r>
      <w:r>
        <w:rPr>
          <w:rFonts w:ascii="宋体" w:cs="Arial" w:hAnsi="宋体" w:hint="eastAsia"/>
          <w:szCs w:val="21"/>
        </w:rPr>
        <w:t>三个月</w:t>
      </w:r>
      <w:r>
        <w:rPr>
          <w:rFonts w:ascii="宋体" w:cs="Arial" w:hAnsi="宋体"/>
          <w:szCs w:val="21"/>
        </w:rPr>
        <w:t>内公告。《基金合同》生效不足两个月的，可以不编制当期季度报告、中期报告或者年度报告。</w:t>
      </w:r>
    </w:p>
    <w:p w14:paraId="7B942EB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w:t>
      </w:r>
      <w:r>
        <w:rPr>
          <w:rFonts w:ascii="宋体" w:cs="Arial" w:hAnsi="宋体" w:hint="eastAsia"/>
          <w:szCs w:val="21"/>
        </w:rPr>
        <w:t>2</w:t>
      </w:r>
      <w:r>
        <w:rPr>
          <w:rFonts w:ascii="宋体" w:cs="Arial" w:hAnsi="宋体" w:hint="eastAsia"/>
          <w:szCs w:val="21"/>
        </w:rPr>
        <w:t>）报表的复核</w:t>
      </w:r>
    </w:p>
    <w:p w14:paraId="7ED0982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2369748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基金管理人应留足充分的时间，便于基金托管人复核相关报表及报告。</w:t>
      </w:r>
    </w:p>
    <w:p w14:paraId="1FA7EB4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（八）实施侧袋机制期间的基金资产估值</w:t>
      </w:r>
    </w:p>
    <w:p w14:paraId="07F90DC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本基金实施侧袋机制的，应根据本部分的约定对主袋账户</w:t>
      </w:r>
      <w:r>
        <w:rPr>
          <w:rFonts w:ascii="宋体" w:cs="Arial" w:hAnsi="宋体" w:hint="eastAsia"/>
          <w:szCs w:val="21"/>
        </w:rPr>
        <w:t>资产进行估值并披露主袋账户的基金净值信息，暂停披露侧袋账户份额净值。</w:t>
      </w:r>
    </w:p>
    <w:p w14:paraId="7891899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（九）基金管理人应在编制季度报告、中期报告或者年度报告之前及时向基金托管人提供基金业绩比较基准的基础数据和编制结果。</w:t>
      </w:r>
    </w:p>
    <w:p w14:paraId="025855F4" w14:textId="77777777" w:rsidR="005465E4" w:rsidRDefault="00EB5FF5">
      <w:pPr>
        <w:pStyle w:val="1"/>
        <w:spacing w:after="0" w:before="0" w:line="360" w:lineRule="auto"/>
        <w:ind w:firstLine="422" w:firstLineChars="200"/>
        <w:jc w:val="center"/>
        <w:rPr>
          <w:rFonts w:ascii="宋体" w:hAnsi="宋体"/>
          <w:sz w:val="21"/>
          <w:szCs w:val="21"/>
        </w:rPr>
      </w:pPr>
      <w:bookmarkStart w:id="168" w:name="_Toc295832646"/>
      <w:bookmarkStart w:id="169" w:name="_Toc295833013"/>
      <w:bookmarkStart w:id="170" w:name="_Toc295833684"/>
      <w:bookmarkStart w:id="171" w:name="_Toc295832647"/>
      <w:bookmarkStart w:id="172" w:name="_Toc295832954"/>
      <w:bookmarkStart w:id="173" w:name="_Toc295833685"/>
      <w:bookmarkStart w:id="174" w:name="_Toc295832953"/>
      <w:bookmarkStart w:id="175" w:name="_Toc295833014"/>
      <w:bookmarkEnd w:id="168"/>
      <w:bookmarkEnd w:id="169"/>
      <w:bookmarkEnd w:id="170"/>
      <w:bookmarkEnd w:id="171"/>
      <w:bookmarkEnd w:id="172"/>
      <w:bookmarkEnd w:id="173"/>
      <w:bookmarkEnd w:id="174"/>
      <w:bookmarkEnd w:id="175"/>
      <w:r>
        <w:rPr>
          <w:rFonts w:ascii="宋体" w:cs="Arial" w:hAnsi="宋体"/>
          <w:sz w:val="21"/>
          <w:szCs w:val="21"/>
        </w:rPr>
        <w:br w:type="page"/>
      </w:r>
      <w:bookmarkStart w:id="176" w:name="_Toc295832648"/>
      <w:bookmarkStart w:id="177" w:name="_Toc295832955"/>
      <w:bookmarkStart w:id="178" w:name="_Toc295833015"/>
      <w:bookmarkStart w:id="179" w:name="_Toc295833686"/>
      <w:bookmarkStart w:id="180" w:name="_Toc270669860"/>
      <w:bookmarkStart w:id="181" w:name="_Toc124325893"/>
      <w:bookmarkStart w:id="182" w:name="_Toc66879687"/>
      <w:bookmarkEnd w:id="176"/>
      <w:bookmarkEnd w:id="177"/>
      <w:bookmarkEnd w:id="178"/>
      <w:bookmarkEnd w:id="179"/>
      <w:r>
        <w:rPr>
          <w:rFonts w:ascii="宋体" w:hAnsi="宋体" w:hint="eastAsia"/>
          <w:sz w:val="21"/>
          <w:szCs w:val="21"/>
        </w:rPr>
        <w:t>九、基金收益分配</w:t>
      </w:r>
      <w:bookmarkEnd w:id="180"/>
      <w:bookmarkEnd w:id="181"/>
      <w:bookmarkEnd w:id="182"/>
    </w:p>
    <w:p w14:paraId="11E61AEE"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基金收益分配是指按规定将基金的可分配收益按基金份额进行比例分配。</w:t>
      </w:r>
    </w:p>
    <w:p w14:paraId="43A3D329"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（一）基金收益分配的原则</w:t>
      </w:r>
    </w:p>
    <w:p w14:paraId="7EE8AD4C" w14:textId="77777777" w:rsidR="005465E4" w:rsidRDefault="00EB5FF5">
      <w:pPr>
        <w:spacing w:line="360" w:lineRule="auto"/>
        <w:ind w:firstLine="420" w:firstLineChars="200"/>
        <w:rPr>
          <w:rFonts w:ascii="宋体" w:cs="Arial" w:hAnsi="宋体"/>
          <w:szCs w:val="21"/>
        </w:rPr>
      </w:pPr>
      <w:r>
        <w:rPr>
          <w:rFonts w:ascii="宋体" w:cs="Arial" w:hAnsi="宋体"/>
          <w:szCs w:val="21"/>
        </w:rPr>
        <w:t>1</w:t>
      </w:r>
      <w:r>
        <w:rPr>
          <w:rFonts w:ascii="宋体" w:cs="Arial" w:hAnsi="宋体"/>
          <w:szCs w:val="21"/>
        </w:rPr>
        <w:t>、在符合有关基金分红条件的前提下，本基金每年收益分配次数最多为</w:t>
      </w:r>
      <w:r>
        <w:rPr>
          <w:rFonts w:ascii="宋体" w:cs="Arial" w:hAnsi="宋体"/>
          <w:szCs w:val="21"/>
        </w:rPr>
        <w:t>12</w:t>
      </w:r>
      <w:r>
        <w:rPr>
          <w:rFonts w:ascii="宋体" w:cs="Arial" w:hAnsi="宋体"/>
          <w:szCs w:val="21"/>
        </w:rPr>
        <w:t>次，每次收益分配比例不得低于该次可供分配利润的</w:t>
      </w:r>
      <w:r>
        <w:rPr>
          <w:rFonts w:ascii="宋体" w:cs="Arial" w:hAnsi="宋体"/>
          <w:szCs w:val="21"/>
        </w:rPr>
        <w:t>20%</w:t>
      </w:r>
      <w:r>
        <w:rPr>
          <w:rFonts w:ascii="宋体" w:cs="Arial" w:hAnsi="宋体"/>
          <w:szCs w:val="21"/>
        </w:rPr>
        <w:t>，若《基金合同》生效不满</w:t>
      </w:r>
      <w:r>
        <w:rPr>
          <w:rFonts w:ascii="宋体" w:cs="Arial" w:hAnsi="宋体"/>
          <w:szCs w:val="21"/>
        </w:rPr>
        <w:t>3</w:t>
      </w:r>
      <w:r>
        <w:rPr>
          <w:rFonts w:ascii="宋体" w:cs="Arial" w:hAnsi="宋体"/>
          <w:szCs w:val="21"/>
        </w:rPr>
        <w:t>个月可不进行收益分配；</w:t>
      </w:r>
    </w:p>
    <w:p w14:paraId="3F4D41E8" w14:textId="77777777" w:rsidR="005465E4" w:rsidRDefault="00EB5FF5">
      <w:pPr>
        <w:spacing w:line="360" w:lineRule="auto"/>
        <w:ind w:firstLine="420" w:firstLineChars="200"/>
        <w:rPr>
          <w:rFonts w:ascii="宋体" w:cs="Arial" w:hAnsi="宋体"/>
          <w:szCs w:val="21"/>
        </w:rPr>
      </w:pPr>
      <w:r>
        <w:rPr>
          <w:rFonts w:ascii="宋体" w:cs="Arial" w:hAnsi="宋体"/>
          <w:szCs w:val="21"/>
        </w:rPr>
        <w:t>2</w:t>
      </w:r>
      <w:r>
        <w:rPr>
          <w:rFonts w:ascii="宋体" w:cs="Arial" w:hAnsi="宋体"/>
          <w:szCs w:val="21"/>
        </w:rPr>
        <w:t>、本基金收益分配方式分两种：现金分红与红</w:t>
      </w:r>
      <w:r>
        <w:rPr>
          <w:rFonts w:ascii="宋体" w:cs="Arial" w:hAnsi="宋体"/>
          <w:szCs w:val="21"/>
        </w:rPr>
        <w:t>利再投资，投资者可选择现金红利或将现金红利自动转为基金份额进行再投资；若投资者不选择，本基金默认的收益分配方式是现金分红；</w:t>
      </w:r>
    </w:p>
    <w:p w14:paraId="11E64085" w14:textId="77777777" w:rsidR="005465E4" w:rsidRDefault="00EB5FF5">
      <w:pPr>
        <w:spacing w:line="360" w:lineRule="auto"/>
        <w:ind w:firstLine="420" w:firstLineChars="200"/>
        <w:rPr>
          <w:rFonts w:ascii="宋体" w:cs="Arial" w:hAnsi="宋体"/>
          <w:szCs w:val="21"/>
        </w:rPr>
      </w:pPr>
      <w:r>
        <w:rPr>
          <w:rFonts w:ascii="宋体" w:cs="Arial" w:hAnsi="宋体"/>
          <w:szCs w:val="21"/>
        </w:rPr>
        <w:t>3</w:t>
      </w:r>
      <w:r>
        <w:rPr>
          <w:rFonts w:ascii="宋体" w:cs="Arial" w:hAnsi="宋体"/>
          <w:szCs w:val="21"/>
        </w:rPr>
        <w:t>、基金收益分配后基金份额净值不能低于面值；即基金收益分配基准日的基金份额净值减去每单位基金份额收益分配金额后不能低于面值；</w:t>
      </w:r>
    </w:p>
    <w:p w14:paraId="4945DC9F" w14:textId="77777777" w:rsidR="005465E4" w:rsidRDefault="00EB5FF5">
      <w:pPr>
        <w:spacing w:line="360" w:lineRule="auto"/>
        <w:ind w:firstLine="420" w:firstLineChars="200"/>
        <w:rPr>
          <w:rFonts w:ascii="宋体" w:cs="Arial" w:hAnsi="宋体"/>
          <w:szCs w:val="21"/>
        </w:rPr>
      </w:pPr>
      <w:r>
        <w:rPr>
          <w:rFonts w:ascii="宋体" w:cs="Arial" w:hAnsi="宋体"/>
          <w:szCs w:val="21"/>
        </w:rPr>
        <w:t>4</w:t>
      </w:r>
      <w:r>
        <w:rPr>
          <w:rFonts w:ascii="宋体" w:cs="Arial" w:hAnsi="宋体"/>
          <w:szCs w:val="21"/>
        </w:rPr>
        <w:t>、由于基金费用的不同，不同类别的基金份额在收益分配数额方面可能有所不同，基金管理人可对各类别基金份额分别制定收益分配方案，同一类别的每一基金份额享有同等分配权；</w:t>
      </w:r>
    </w:p>
    <w:p w14:paraId="182DA358" w14:textId="77777777" w:rsidR="005465E4" w:rsidRDefault="00EB5FF5">
      <w:pPr>
        <w:spacing w:line="360" w:lineRule="auto"/>
        <w:ind w:firstLine="420" w:firstLineChars="200"/>
        <w:rPr>
          <w:rFonts w:ascii="宋体" w:cs="Arial" w:hAnsi="宋体"/>
          <w:szCs w:val="21"/>
        </w:rPr>
      </w:pPr>
      <w:r>
        <w:rPr>
          <w:rFonts w:ascii="宋体" w:cs="Arial" w:hAnsi="宋体"/>
          <w:szCs w:val="21"/>
        </w:rPr>
        <w:t>5</w:t>
      </w:r>
      <w:r>
        <w:rPr>
          <w:rFonts w:ascii="宋体" w:cs="Arial" w:hAnsi="宋体"/>
          <w:szCs w:val="21"/>
        </w:rPr>
        <w:t>、法律法规或监管机关另有规定的，从其规定。</w:t>
      </w:r>
    </w:p>
    <w:p w14:paraId="29E029CE" w14:textId="77777777" w:rsidR="005465E4" w:rsidRDefault="00EB5FF5">
      <w:pPr>
        <w:spacing w:line="360" w:lineRule="auto"/>
        <w:ind w:firstLine="420" w:firstLineChars="200"/>
        <w:rPr>
          <w:rFonts w:ascii="宋体" w:cs="Arial" w:hAnsi="宋体"/>
          <w:szCs w:val="21"/>
        </w:rPr>
      </w:pPr>
      <w:r>
        <w:rPr>
          <w:rFonts w:ascii="宋体" w:cs="Arial" w:hAnsi="宋体"/>
          <w:szCs w:val="21"/>
        </w:rPr>
        <w:t>在不违反法律法规且对现有基金份额持有人利益无重大实质</w:t>
      </w:r>
      <w:r>
        <w:rPr>
          <w:rFonts w:ascii="宋体" w:cs="Arial" w:hAnsi="宋体"/>
          <w:szCs w:val="21"/>
        </w:rPr>
        <w:t>不利影响的情况下，基金管理人、登记机构可对基金收益分配原则进行调整，不需召开基金份额持有人大会。</w:t>
      </w:r>
    </w:p>
    <w:p w14:paraId="17B09E94"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（二）基金收益分配的时间和程序</w:t>
      </w:r>
    </w:p>
    <w:p w14:paraId="6DC045F7"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1</w:t>
      </w:r>
      <w:r>
        <w:rPr>
          <w:rFonts w:ascii="宋体" w:cs="Arial" w:hAnsi="宋体" w:hint="eastAsia"/>
          <w:szCs w:val="21"/>
        </w:rPr>
        <w:t>、</w:t>
      </w:r>
      <w:r>
        <w:rPr>
          <w:rFonts w:ascii="宋体" w:cs="Arial" w:hAnsi="宋体"/>
          <w:szCs w:val="21"/>
        </w:rPr>
        <w:t>本基金收益分配方案由基金管理人拟定，并由基金托管人复核，依照《信息披露办法》的有关规定在规定媒介公告。</w:t>
      </w:r>
    </w:p>
    <w:p w14:paraId="04490966"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2</w:t>
      </w:r>
      <w:r>
        <w:rPr>
          <w:rFonts w:ascii="宋体" w:cs="Arial" w:hAnsi="宋体" w:hint="eastAsia"/>
          <w:szCs w:val="21"/>
        </w:rPr>
        <w:t>、</w:t>
      </w:r>
      <w:r>
        <w:rPr>
          <w:rFonts w:ascii="宋体" w:cs="Arial" w:hAnsi="宋体"/>
          <w:szCs w:val="21"/>
        </w:rPr>
        <w:t>基金红利发放日距离收益分配基准日（即可供分配利润计算截止日）的时间不得超过</w:t>
      </w:r>
      <w:r>
        <w:rPr>
          <w:rFonts w:ascii="宋体" w:cs="Arial" w:hAnsi="宋体"/>
          <w:szCs w:val="21"/>
        </w:rPr>
        <w:t>15</w:t>
      </w:r>
      <w:r>
        <w:rPr>
          <w:rFonts w:ascii="宋体" w:cs="Arial" w:hAnsi="宋体"/>
          <w:szCs w:val="21"/>
        </w:rPr>
        <w:t>个工作日。</w:t>
      </w:r>
    </w:p>
    <w:p w14:paraId="00FA3A7E"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（三）</w:t>
      </w:r>
      <w:r>
        <w:rPr>
          <w:rFonts w:ascii="宋体" w:cs="Arial" w:hAnsi="宋体"/>
          <w:szCs w:val="21"/>
        </w:rPr>
        <w:t>基金收益分配中发生的费用</w:t>
      </w:r>
    </w:p>
    <w:p w14:paraId="1AA29C3D" w14:textId="77777777" w:rsidR="005465E4" w:rsidRDefault="00EB5FF5">
      <w:pPr>
        <w:spacing w:line="360" w:lineRule="auto"/>
        <w:ind w:firstLine="420" w:firstLineChars="200"/>
        <w:rPr>
          <w:rFonts w:ascii="宋体" w:cs="Arial" w:hAnsi="宋体"/>
          <w:szCs w:val="21"/>
        </w:rPr>
      </w:pPr>
      <w:r>
        <w:rPr>
          <w:rFonts w:ascii="宋体" w:cs="Arial" w:hAnsi="宋体"/>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p>
    <w:p w14:paraId="6B5086EE" w14:textId="77777777" w:rsidR="005465E4" w:rsidRDefault="00EB5FF5">
      <w:pPr>
        <w:spacing w:line="360" w:lineRule="auto"/>
        <w:ind w:firstLine="420" w:firstLineChars="200"/>
        <w:rPr>
          <w:rFonts w:ascii="宋体" w:cs="Arial" w:hAnsi="宋体"/>
          <w:szCs w:val="21"/>
        </w:rPr>
      </w:pPr>
      <w:r>
        <w:rPr>
          <w:rFonts w:hint="eastAsia"/>
          <w:szCs w:val="21"/>
        </w:rPr>
        <w:t>（四）实施侧袋机制期间的收益分配</w:t>
      </w:r>
    </w:p>
    <w:p w14:paraId="0B555BB4" w14:textId="77777777" w:rsidR="005465E4" w:rsidRDefault="00EB5FF5">
      <w:pPr>
        <w:spacing w:line="360" w:lineRule="auto"/>
        <w:ind w:firstLine="420" w:firstLineChars="200"/>
        <w:rPr>
          <w:rFonts w:ascii="宋体" w:cs="Arial" w:hAnsi="宋体"/>
          <w:szCs w:val="21"/>
        </w:rPr>
      </w:pPr>
      <w:r>
        <w:rPr>
          <w:rFonts w:hint="eastAsia"/>
          <w:szCs w:val="21"/>
        </w:rPr>
        <w:t>本基金实施侧袋机制的，侧袋账户不进行收益分配，详见招募说明书的规定。</w:t>
      </w:r>
    </w:p>
    <w:p w14:paraId="64ABAE3A"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183" w:name="_Toc295832650"/>
      <w:bookmarkStart w:id="184" w:name="_Toc295832957"/>
      <w:bookmarkStart w:id="185" w:name="_Toc295833017"/>
      <w:bookmarkStart w:id="186" w:name="_Toc295833688"/>
      <w:bookmarkStart w:id="187" w:name="_Toc66879688"/>
      <w:bookmarkStart w:id="188" w:name="_Toc270669861"/>
      <w:bookmarkStart w:id="189" w:name="_Toc124325894"/>
      <w:bookmarkEnd w:id="183"/>
      <w:bookmarkEnd w:id="184"/>
      <w:bookmarkEnd w:id="185"/>
      <w:bookmarkEnd w:id="186"/>
      <w:r>
        <w:rPr>
          <w:rFonts w:ascii="宋体" w:hAnsi="宋体" w:hint="eastAsia"/>
          <w:sz w:val="21"/>
          <w:szCs w:val="21"/>
        </w:rPr>
        <w:t>十、基金信息披露</w:t>
      </w:r>
      <w:bookmarkEnd w:id="187"/>
      <w:bookmarkEnd w:id="188"/>
      <w:bookmarkEnd w:id="189"/>
    </w:p>
    <w:p w14:paraId="2947DCD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（一）保密义务</w:t>
      </w:r>
    </w:p>
    <w:p w14:paraId="44F0AC1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基金托管人和基金管理人应按法律法规、基金合同的有关规定进行信息披露，拟公开披露的信息在公开披露之前应予保密。除按《基金法》、基金</w:t>
      </w:r>
      <w:r>
        <w:rPr>
          <w:rFonts w:ascii="宋体" w:cs="Arial" w:hAnsi="宋体" w:hint="eastAsia"/>
          <w:szCs w:val="21"/>
        </w:rPr>
        <w:t>合同、《信息披露办法》、</w:t>
      </w:r>
      <w:r>
        <w:rPr>
          <w:rFonts w:ascii="宋体" w:cs="Arial" w:hAnsi="宋体"/>
          <w:szCs w:val="21"/>
        </w:rPr>
        <w:t>《</w:t>
      </w:r>
      <w:r>
        <w:rPr>
          <w:rFonts w:ascii="宋体" w:cs="Arial" w:hAnsi="宋体" w:hint="eastAsia"/>
          <w:szCs w:val="21"/>
        </w:rPr>
        <w:t>流动性</w:t>
      </w:r>
      <w:r>
        <w:rPr>
          <w:rFonts w:ascii="宋体" w:cs="Arial" w:hAnsi="宋体"/>
          <w:szCs w:val="21"/>
        </w:rPr>
        <w:t>风险管理规定》</w:t>
      </w:r>
      <w:r>
        <w:rPr>
          <w:rFonts w:ascii="宋体" w:cs="Arial" w:hAnsi="宋体" w:hint="eastAsia"/>
          <w:szCs w:val="21"/>
        </w:rPr>
        <w:t>及其他有关规定进行信息披露外，基金管理人和基金托管人对基金运作中产生的信息以及从对方获得的业务信息应予保密。但是，如下情况不应视为基金管理人或基金托管人违反保密义务：</w:t>
      </w:r>
    </w:p>
    <w:p w14:paraId="60065208" w14:textId="77777777" w:rsidR="005465E4" w:rsidRDefault="00EB5FF5">
      <w:pPr>
        <w:numPr>
          <w:ilvl w:val="0"/>
          <w:numId w:val="19"/>
        </w:numPr>
        <w:adjustRightInd w:val="0"/>
        <w:spacing w:line="360" w:lineRule="auto"/>
        <w:ind w:firstLine="420" w:firstLineChars="200" w:left="0"/>
        <w:rPr>
          <w:rStyle w:val="read"/>
          <w:rFonts w:ascii="宋体" w:hAnsi="宋体"/>
          <w:szCs w:val="21"/>
        </w:rPr>
      </w:pPr>
      <w:r>
        <w:rPr>
          <w:rStyle w:val="read"/>
          <w:rFonts w:ascii="宋体" w:hAnsi="宋体" w:hint="eastAsia"/>
          <w:szCs w:val="21"/>
        </w:rPr>
        <w:t>非因基金管理人和基金托管人的原因导致保密信息被披露、泄露或公开；</w:t>
      </w:r>
    </w:p>
    <w:p w14:paraId="6D85E3C8" w14:textId="77777777" w:rsidR="005465E4" w:rsidRDefault="00EB5FF5">
      <w:pPr>
        <w:numPr>
          <w:ilvl w:val="0"/>
          <w:numId w:val="19"/>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基金管理人和基金托管人为遵守和服从法院判决或裁定、仲裁裁决或中国证监会等监管机构的命令、决定所做出的信息披露或公开。</w:t>
      </w:r>
    </w:p>
    <w:p w14:paraId="4480588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（二）信息披露的内容</w:t>
      </w:r>
    </w:p>
    <w:p w14:paraId="0AD224D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基金的信息披露内容主要包括基金招募说明书、基金产品资料概要、清算报告、基金合同、</w:t>
      </w:r>
      <w:r>
        <w:rPr>
          <w:rFonts w:ascii="宋体" w:cs="Arial" w:hAnsi="宋体"/>
          <w:szCs w:val="21"/>
        </w:rPr>
        <w:t>基金</w:t>
      </w:r>
      <w:r>
        <w:rPr>
          <w:rFonts w:ascii="宋体" w:cs="Arial" w:hAnsi="宋体" w:hint="eastAsia"/>
          <w:szCs w:val="21"/>
        </w:rPr>
        <w:t>托管协议、基金份额发售公告、基金合同生效公告、基金净值信息、基金份额申购、赎回价格、基金定期报告（包括基金年度报告、基金中期报告和基金季度报告）、临时报告、澄清公告、基金份额持有人大会决议、投资资产支持证券的相关公告、投资股指期货的相关公告、投资国债期货的相关公告、投资股票期权的相关公告、</w:t>
      </w:r>
      <w:r>
        <w:rPr>
          <w:rFonts w:ascii="宋体" w:cs="Arial" w:hAnsi="宋体"/>
          <w:szCs w:val="21"/>
        </w:rPr>
        <w:t>投资流通受限证券的相关公告</w:t>
      </w:r>
      <w:r>
        <w:rPr>
          <w:rFonts w:ascii="宋体" w:cs="Arial" w:hAnsi="宋体" w:hint="eastAsia"/>
          <w:szCs w:val="21"/>
        </w:rPr>
        <w:t>、参与转融通证券出借业务的相关公告、实施侧袋机制期间的信息披露、中国证监会规定的其他信息。基金年度报告中的财务会计报告需经符合《证券法》规定的会计师事务所审计后，方可披露。</w:t>
      </w:r>
    </w:p>
    <w:p w14:paraId="3ADB289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（三）基金托管人和基金</w:t>
      </w:r>
      <w:r>
        <w:rPr>
          <w:rFonts w:ascii="宋体" w:cs="Arial" w:hAnsi="宋体" w:hint="eastAsia"/>
          <w:szCs w:val="21"/>
        </w:rPr>
        <w:t>管理人在信息披露中的职责和信息披露程序</w:t>
      </w:r>
    </w:p>
    <w:p w14:paraId="04B1DBD7" w14:textId="77777777" w:rsidR="005465E4" w:rsidRDefault="00EB5FF5">
      <w:pPr>
        <w:numPr>
          <w:ilvl w:val="0"/>
          <w:numId w:val="20"/>
        </w:numPr>
        <w:adjustRightInd w:val="0"/>
        <w:spacing w:line="360" w:lineRule="auto"/>
        <w:ind w:firstLine="420" w:firstLineChars="200" w:left="0"/>
        <w:rPr>
          <w:rStyle w:val="read"/>
          <w:rFonts w:ascii="宋体" w:hAnsi="宋体"/>
          <w:szCs w:val="21"/>
        </w:rPr>
      </w:pPr>
      <w:r>
        <w:rPr>
          <w:rStyle w:val="read"/>
          <w:rFonts w:ascii="宋体" w:hAnsi="宋体" w:hint="eastAsia"/>
          <w:szCs w:val="21"/>
        </w:rPr>
        <w:t>职责</w:t>
      </w:r>
    </w:p>
    <w:p w14:paraId="364B818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规定的应由基金托管人复核的事项进行复核，基金托管人复核无误后，由基金管理人予以公布。</w:t>
      </w:r>
    </w:p>
    <w:p w14:paraId="09B5CBC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基金管理人和基金托管人应积极配合、互相监督，保证按照法定的方式和时限履行信息披露义务。</w:t>
      </w:r>
    </w:p>
    <w:p w14:paraId="1E5744B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基金管理人应当在中国证监会规定的时间内，将应予披露的基金信息通过规定媒介披露。根据法律法规</w:t>
      </w:r>
      <w:r>
        <w:rPr>
          <w:rFonts w:ascii="宋体" w:cs="Arial" w:hAnsi="宋体" w:hint="eastAsia"/>
          <w:szCs w:val="21"/>
        </w:rPr>
        <w:t>应由基金托管人公开披露的信息，基金托管人将通过规定媒介或基金托管人的互联网网站公开披露。</w:t>
      </w:r>
    </w:p>
    <w:p w14:paraId="14F32B5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当出现下述情况时，基金管理人和基金托管人可暂停或延迟披露基金信息：</w:t>
      </w:r>
    </w:p>
    <w:p w14:paraId="4FD392A9" w14:textId="77777777" w:rsidR="005465E4" w:rsidRDefault="00EB5FF5">
      <w:pPr>
        <w:spacing w:line="360" w:lineRule="auto"/>
        <w:ind w:firstLine="420" w:firstLineChars="200"/>
        <w:rPr>
          <w:bCs/>
          <w:szCs w:val="21"/>
        </w:rPr>
      </w:pPr>
      <w:r>
        <w:rPr>
          <w:rFonts w:hint="eastAsia"/>
          <w:bCs/>
          <w:szCs w:val="21"/>
        </w:rPr>
        <w:t>1</w:t>
      </w:r>
      <w:r>
        <w:rPr>
          <w:rFonts w:hint="eastAsia"/>
          <w:bCs/>
          <w:szCs w:val="21"/>
        </w:rPr>
        <w:t>）不可抗力；</w:t>
      </w:r>
    </w:p>
    <w:p w14:paraId="02AE2B40" w14:textId="77777777" w:rsidR="005465E4" w:rsidRDefault="00EB5FF5">
      <w:pPr>
        <w:spacing w:line="360" w:lineRule="auto"/>
        <w:ind w:firstLine="420" w:firstLineChars="200"/>
        <w:rPr>
          <w:bCs/>
          <w:szCs w:val="21"/>
        </w:rPr>
      </w:pPr>
      <w:r>
        <w:rPr>
          <w:rFonts w:hint="eastAsia"/>
          <w:bCs/>
          <w:szCs w:val="21"/>
        </w:rPr>
        <w:t>2</w:t>
      </w:r>
      <w:r>
        <w:rPr>
          <w:rFonts w:hint="eastAsia"/>
          <w:bCs/>
          <w:szCs w:val="21"/>
        </w:rPr>
        <w:t>）基金投资所涉及的证券</w:t>
      </w:r>
      <w:r>
        <w:rPr>
          <w:rFonts w:hint="eastAsia"/>
          <w:bCs/>
          <w:szCs w:val="21"/>
        </w:rPr>
        <w:t>/</w:t>
      </w:r>
      <w:r>
        <w:rPr>
          <w:rFonts w:hint="eastAsia"/>
          <w:bCs/>
          <w:szCs w:val="21"/>
        </w:rPr>
        <w:t>期货交易市场遇法定节假日或因其他原因暂停营业时；</w:t>
      </w:r>
    </w:p>
    <w:p w14:paraId="6EBDDF29" w14:textId="77777777" w:rsidR="005465E4" w:rsidRDefault="00EB5FF5">
      <w:pPr>
        <w:adjustRightInd w:val="0"/>
        <w:spacing w:line="360" w:lineRule="auto"/>
        <w:ind w:firstLine="420" w:firstLineChars="200"/>
        <w:rPr>
          <w:rFonts w:ascii="宋体" w:cs="Arial" w:hAnsi="宋体"/>
          <w:szCs w:val="21"/>
        </w:rPr>
      </w:pPr>
      <w:r>
        <w:rPr>
          <w:rFonts w:hint="eastAsia"/>
          <w:bCs/>
          <w:szCs w:val="21"/>
        </w:rPr>
        <w:t>3</w:t>
      </w:r>
      <w:r>
        <w:rPr>
          <w:rFonts w:hint="eastAsia"/>
          <w:bCs/>
          <w:szCs w:val="21"/>
        </w:rPr>
        <w:t>）法律法规、基金合同或中国证监会规定的情况。</w:t>
      </w:r>
    </w:p>
    <w:p w14:paraId="0527087C" w14:textId="77777777" w:rsidR="005465E4" w:rsidRDefault="00EB5FF5">
      <w:pPr>
        <w:numPr>
          <w:ilvl w:val="0"/>
          <w:numId w:val="20"/>
        </w:numPr>
        <w:adjustRightInd w:val="0"/>
        <w:spacing w:line="360" w:lineRule="auto"/>
        <w:ind w:firstLine="420" w:firstLineChars="200" w:left="0"/>
        <w:rPr>
          <w:rStyle w:val="read"/>
          <w:rFonts w:ascii="宋体" w:hAnsi="宋体"/>
          <w:szCs w:val="21"/>
        </w:rPr>
      </w:pPr>
      <w:r>
        <w:rPr>
          <w:rStyle w:val="read"/>
          <w:rFonts w:ascii="宋体" w:hAnsi="宋体" w:hint="eastAsia"/>
          <w:szCs w:val="21"/>
        </w:rPr>
        <w:t>程序</w:t>
      </w:r>
    </w:p>
    <w:p w14:paraId="457D265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按有关规定须经基金托管人复核的信息披露文件，由基金管理人起草、并经基金托管人复核后由基金管理人公告。发生基金合同中规定需要披露的事项时，按基金合同规定公布。</w:t>
      </w:r>
    </w:p>
    <w:p w14:paraId="6D3467F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对于需要基金托管人登载在规定网站的基金合同和基金托管协议，基金管理人将指定专人及时向基金托管人发送，并注明披露时间，以便基金托管人可与基金管理人同步进行信息披露。如有变更，双方可以协商约定。</w:t>
      </w:r>
    </w:p>
    <w:p w14:paraId="0E8452F5" w14:textId="77777777" w:rsidR="005465E4" w:rsidRDefault="00EB5FF5">
      <w:pPr>
        <w:numPr>
          <w:ilvl w:val="0"/>
          <w:numId w:val="20"/>
        </w:numPr>
        <w:adjustRightInd w:val="0"/>
        <w:spacing w:line="360" w:lineRule="auto"/>
        <w:ind w:firstLine="420" w:firstLineChars="200" w:left="0"/>
        <w:rPr>
          <w:rStyle w:val="read"/>
          <w:rFonts w:ascii="宋体" w:hAnsi="宋体"/>
          <w:szCs w:val="21"/>
        </w:rPr>
      </w:pPr>
      <w:r>
        <w:rPr>
          <w:rStyle w:val="read"/>
          <w:rFonts w:ascii="宋体" w:hAnsi="宋体" w:hint="eastAsia"/>
          <w:szCs w:val="21"/>
        </w:rPr>
        <w:t>信息文本的存放</w:t>
      </w:r>
    </w:p>
    <w:p w14:paraId="056F42B8" w14:textId="77777777" w:rsidR="005465E4" w:rsidRDefault="00EB5FF5">
      <w:pPr>
        <w:pStyle w:val="18"/>
        <w:spacing w:line="360" w:lineRule="auto"/>
        <w:ind w:firstLineChars="200"/>
        <w:rPr>
          <w:rFonts w:ascii="宋体" w:cs="Arial" w:hAnsi="宋体"/>
          <w:szCs w:val="21"/>
        </w:rPr>
      </w:pPr>
      <w:r>
        <w:rPr>
          <w:rFonts w:ascii="宋体" w:cs="Arial" w:hAnsi="宋体" w:hint="eastAsia"/>
          <w:szCs w:val="21"/>
        </w:rPr>
        <w:t>依法必须披露的信息发布后，基金管理人、基金托管人应当按照相关法律法规规定将信息置备于公司住所，供社会公众查阅、复制。</w:t>
      </w:r>
    </w:p>
    <w:p w14:paraId="185F4BC9"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190" w:name="_Toc295832959"/>
      <w:bookmarkStart w:id="191" w:name="_Toc295832652"/>
      <w:bookmarkStart w:id="192" w:name="_Toc295833019"/>
      <w:bookmarkStart w:id="193" w:name="_Toc295833690"/>
      <w:bookmarkStart w:id="194" w:name="_Toc124325895"/>
      <w:bookmarkStart w:id="195" w:name="_Toc270669862"/>
      <w:bookmarkStart w:id="196" w:name="_Toc66879689"/>
      <w:bookmarkEnd w:id="190"/>
      <w:bookmarkEnd w:id="191"/>
      <w:bookmarkEnd w:id="192"/>
      <w:bookmarkEnd w:id="193"/>
      <w:r>
        <w:rPr>
          <w:rFonts w:ascii="宋体" w:hAnsi="宋体" w:hint="eastAsia"/>
          <w:sz w:val="21"/>
          <w:szCs w:val="21"/>
        </w:rPr>
        <w:t>十一、基金费用</w:t>
      </w:r>
      <w:bookmarkEnd w:id="194"/>
      <w:bookmarkEnd w:id="195"/>
      <w:bookmarkEnd w:id="196"/>
    </w:p>
    <w:p w14:paraId="1AEB27A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（一）基金管理费的计提比例和计提方法</w:t>
      </w:r>
    </w:p>
    <w:p w14:paraId="4A5DE087" w14:textId="77777777" w:rsidR="005465E4" w:rsidRDefault="00EB5FF5">
      <w:pPr>
        <w:spacing w:line="360" w:lineRule="auto"/>
        <w:ind w:firstLine="420" w:firstLineChars="200"/>
        <w:rPr>
          <w:rFonts w:ascii="宋体" w:cs="Arial" w:hAnsi="宋体"/>
          <w:szCs w:val="21"/>
        </w:rPr>
      </w:pPr>
      <w:r>
        <w:rPr>
          <w:rFonts w:ascii="宋体" w:cs="Arial" w:hAnsi="宋体"/>
          <w:szCs w:val="21"/>
        </w:rPr>
        <w:t>本基金的管理费按前一日基金资产净值扣除基金资产中目标</w:t>
      </w:r>
      <w:r>
        <w:rPr>
          <w:rFonts w:ascii="宋体" w:cs="Arial" w:hAnsi="宋体"/>
          <w:szCs w:val="21"/>
        </w:rPr>
        <w:t>ETF</w:t>
      </w:r>
      <w:r>
        <w:rPr>
          <w:rFonts w:ascii="宋体" w:cs="Arial" w:hAnsi="宋体"/>
          <w:szCs w:val="21"/>
        </w:rPr>
        <w:t>份额所对应资产净值后剩余部分的</w:t>
      </w:r>
      <w:r>
        <w:rPr>
          <w:rFonts w:ascii="宋体" w:cs="Arial" w:hAnsi="宋体"/>
          <w:szCs w:val="21"/>
        </w:rPr>
        <w:t>0.50%</w:t>
      </w:r>
      <w:r>
        <w:rPr>
          <w:rFonts w:ascii="宋体" w:cs="Arial" w:hAnsi="宋体"/>
          <w:szCs w:val="21"/>
        </w:rPr>
        <w:t>年费率计提。管理费的计算方法如下</w:t>
      </w:r>
      <w:r>
        <w:rPr>
          <w:rFonts w:ascii="宋体" w:cs="Arial" w:hAnsi="宋体"/>
          <w:szCs w:val="21"/>
        </w:rPr>
        <w:t>：</w:t>
      </w:r>
    </w:p>
    <w:p w14:paraId="0E7B7C3A" w14:textId="77777777" w:rsidR="005465E4" w:rsidRDefault="00EB5FF5">
      <w:pPr>
        <w:spacing w:line="360" w:lineRule="auto"/>
        <w:ind w:firstLine="420" w:firstLineChars="200"/>
        <w:rPr>
          <w:rFonts w:ascii="宋体" w:cs="Arial" w:hAnsi="宋体"/>
          <w:szCs w:val="21"/>
        </w:rPr>
      </w:pPr>
      <w:r>
        <w:rPr>
          <w:rFonts w:ascii="宋体" w:cs="Arial" w:hAnsi="宋体"/>
          <w:szCs w:val="21"/>
        </w:rPr>
        <w:t>H</w:t>
      </w:r>
      <w:r>
        <w:rPr>
          <w:rFonts w:ascii="宋体" w:cs="Arial" w:hAnsi="宋体"/>
          <w:szCs w:val="21"/>
        </w:rPr>
        <w:t>＝</w:t>
      </w:r>
      <w:r>
        <w:rPr>
          <w:rFonts w:ascii="宋体" w:cs="Arial" w:hAnsi="宋体"/>
          <w:szCs w:val="21"/>
        </w:rPr>
        <w:t>E×0.50%÷</w:t>
      </w:r>
      <w:r>
        <w:rPr>
          <w:rFonts w:ascii="宋体" w:cs="Arial" w:hAnsi="宋体"/>
          <w:szCs w:val="21"/>
        </w:rPr>
        <w:t>当年天数</w:t>
      </w:r>
    </w:p>
    <w:p w14:paraId="3259871A" w14:textId="77777777" w:rsidR="005465E4" w:rsidRDefault="00EB5FF5">
      <w:pPr>
        <w:spacing w:line="360" w:lineRule="auto"/>
        <w:ind w:firstLine="420" w:firstLineChars="200"/>
        <w:rPr>
          <w:rFonts w:ascii="宋体" w:cs="Arial" w:hAnsi="宋体"/>
          <w:szCs w:val="21"/>
        </w:rPr>
      </w:pPr>
      <w:r>
        <w:rPr>
          <w:rFonts w:ascii="宋体" w:cs="Arial" w:hAnsi="宋体"/>
          <w:szCs w:val="21"/>
        </w:rPr>
        <w:t>H</w:t>
      </w:r>
      <w:r>
        <w:rPr>
          <w:rFonts w:ascii="宋体" w:cs="Arial" w:hAnsi="宋体"/>
          <w:szCs w:val="21"/>
        </w:rPr>
        <w:t>为每日应计提的基金管理费</w:t>
      </w:r>
    </w:p>
    <w:p w14:paraId="2FA0B59B" w14:textId="77777777" w:rsidR="005465E4" w:rsidRDefault="00EB5FF5">
      <w:pPr>
        <w:spacing w:line="360" w:lineRule="auto"/>
        <w:ind w:firstLine="420" w:firstLineChars="200"/>
        <w:rPr>
          <w:rFonts w:ascii="宋体" w:cs="Arial" w:hAnsi="宋体"/>
          <w:szCs w:val="21"/>
        </w:rPr>
      </w:pPr>
      <w:r>
        <w:rPr>
          <w:rFonts w:ascii="宋体" w:cs="Arial" w:hAnsi="宋体"/>
          <w:szCs w:val="21"/>
        </w:rPr>
        <w:t>E</w:t>
      </w:r>
      <w:r>
        <w:rPr>
          <w:rFonts w:ascii="宋体" w:cs="Arial" w:hAnsi="宋体"/>
          <w:szCs w:val="21"/>
        </w:rPr>
        <w:t>为前一日的基金资产净值扣除基金资产中目标</w:t>
      </w:r>
      <w:r>
        <w:rPr>
          <w:rFonts w:ascii="宋体" w:cs="Arial" w:hAnsi="宋体"/>
          <w:szCs w:val="21"/>
        </w:rPr>
        <w:t>ETF</w:t>
      </w:r>
      <w:r>
        <w:rPr>
          <w:rFonts w:ascii="宋体" w:cs="Arial" w:hAnsi="宋体"/>
          <w:szCs w:val="21"/>
        </w:rPr>
        <w:t>份额所对应资产净值后剩余部分，若为负数，则</w:t>
      </w:r>
      <w:r>
        <w:rPr>
          <w:rFonts w:ascii="宋体" w:cs="Arial" w:hAnsi="宋体"/>
          <w:szCs w:val="21"/>
        </w:rPr>
        <w:t>E</w:t>
      </w:r>
      <w:r>
        <w:rPr>
          <w:rFonts w:ascii="宋体" w:cs="Arial" w:hAnsi="宋体"/>
          <w:szCs w:val="21"/>
        </w:rPr>
        <w:t>取</w:t>
      </w:r>
      <w:r>
        <w:rPr>
          <w:rFonts w:ascii="宋体" w:cs="Arial" w:hAnsi="宋体"/>
          <w:szCs w:val="21"/>
        </w:rPr>
        <w:t>0</w:t>
      </w:r>
      <w:r>
        <w:rPr>
          <w:rFonts w:ascii="宋体" w:cs="Arial" w:hAnsi="宋体"/>
          <w:szCs w:val="21"/>
        </w:rPr>
        <w:t>。</w:t>
      </w:r>
    </w:p>
    <w:p w14:paraId="4363C7E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（二）基金托管费的计提比例和计提方法</w:t>
      </w:r>
    </w:p>
    <w:p w14:paraId="65F81B5D" w14:textId="77777777" w:rsidR="005465E4" w:rsidRDefault="00EB5FF5">
      <w:pPr>
        <w:spacing w:line="360" w:lineRule="auto"/>
        <w:ind w:firstLine="420" w:firstLineChars="200"/>
        <w:rPr>
          <w:rFonts w:ascii="宋体" w:cs="Arial" w:hAnsi="宋体"/>
          <w:szCs w:val="21"/>
        </w:rPr>
      </w:pPr>
      <w:r>
        <w:rPr>
          <w:rFonts w:ascii="宋体" w:cs="Arial" w:hAnsi="宋体"/>
          <w:szCs w:val="21"/>
        </w:rPr>
        <w:t>本基金的托管费按前一日基金资产净值扣除基金资产中目标</w:t>
      </w:r>
      <w:r>
        <w:rPr>
          <w:rFonts w:ascii="宋体" w:cs="Arial" w:hAnsi="宋体"/>
          <w:szCs w:val="21"/>
        </w:rPr>
        <w:t>ETF</w:t>
      </w:r>
      <w:r>
        <w:rPr>
          <w:rFonts w:ascii="宋体" w:cs="Arial" w:hAnsi="宋体"/>
          <w:szCs w:val="21"/>
        </w:rPr>
        <w:t>份额所对应资产净值后剩余部分的</w:t>
      </w:r>
      <w:r>
        <w:rPr>
          <w:rFonts w:ascii="宋体" w:cs="Arial" w:hAnsi="宋体"/>
          <w:szCs w:val="21"/>
        </w:rPr>
        <w:t>0.10%</w:t>
      </w:r>
      <w:r>
        <w:rPr>
          <w:rFonts w:ascii="宋体" w:cs="Arial" w:hAnsi="宋体"/>
          <w:szCs w:val="21"/>
        </w:rPr>
        <w:t>的年费率计提。托管费的计算方法如下：</w:t>
      </w:r>
    </w:p>
    <w:p w14:paraId="7A3EBF0F" w14:textId="77777777" w:rsidR="005465E4" w:rsidRDefault="00EB5FF5">
      <w:pPr>
        <w:spacing w:line="360" w:lineRule="auto"/>
        <w:ind w:firstLine="420" w:firstLineChars="200"/>
        <w:rPr>
          <w:rFonts w:ascii="宋体" w:cs="Arial" w:hAnsi="宋体"/>
          <w:szCs w:val="21"/>
        </w:rPr>
      </w:pPr>
      <w:r>
        <w:rPr>
          <w:rFonts w:ascii="宋体" w:cs="Arial" w:hAnsi="宋体"/>
          <w:szCs w:val="21"/>
        </w:rPr>
        <w:t>H</w:t>
      </w:r>
      <w:r>
        <w:rPr>
          <w:rFonts w:ascii="宋体" w:cs="Arial" w:hAnsi="宋体"/>
          <w:szCs w:val="21"/>
        </w:rPr>
        <w:t>＝</w:t>
      </w:r>
      <w:r>
        <w:rPr>
          <w:rFonts w:ascii="宋体" w:cs="Arial" w:hAnsi="宋体"/>
          <w:szCs w:val="21"/>
        </w:rPr>
        <w:t>E×0.10%÷</w:t>
      </w:r>
      <w:r>
        <w:rPr>
          <w:rFonts w:ascii="宋体" w:cs="Arial" w:hAnsi="宋体"/>
          <w:szCs w:val="21"/>
        </w:rPr>
        <w:t>当年天数</w:t>
      </w:r>
    </w:p>
    <w:p w14:paraId="5434A174" w14:textId="77777777" w:rsidR="005465E4" w:rsidRDefault="00EB5FF5">
      <w:pPr>
        <w:spacing w:line="360" w:lineRule="auto"/>
        <w:ind w:firstLine="420" w:firstLineChars="200"/>
        <w:rPr>
          <w:rFonts w:ascii="宋体" w:cs="Arial" w:hAnsi="宋体"/>
          <w:szCs w:val="21"/>
        </w:rPr>
      </w:pPr>
      <w:r>
        <w:rPr>
          <w:rFonts w:ascii="宋体" w:cs="Arial" w:hAnsi="宋体"/>
          <w:szCs w:val="21"/>
        </w:rPr>
        <w:t>H</w:t>
      </w:r>
      <w:r>
        <w:rPr>
          <w:rFonts w:ascii="宋体" w:cs="Arial" w:hAnsi="宋体"/>
          <w:szCs w:val="21"/>
        </w:rPr>
        <w:t>为每日应计提的基金托管费</w:t>
      </w:r>
    </w:p>
    <w:p w14:paraId="0222B47D" w14:textId="77777777" w:rsidR="005465E4" w:rsidRDefault="00EB5FF5">
      <w:pPr>
        <w:spacing w:line="360" w:lineRule="auto"/>
        <w:ind w:firstLine="420" w:firstLineChars="200"/>
        <w:rPr>
          <w:rFonts w:ascii="宋体" w:cs="Arial" w:hAnsi="宋体"/>
          <w:szCs w:val="21"/>
        </w:rPr>
      </w:pPr>
      <w:r>
        <w:rPr>
          <w:rFonts w:ascii="宋体" w:cs="Arial" w:hAnsi="宋体"/>
          <w:szCs w:val="21"/>
        </w:rPr>
        <w:t>E</w:t>
      </w:r>
      <w:r>
        <w:rPr>
          <w:rFonts w:ascii="宋体" w:cs="Arial" w:hAnsi="宋体"/>
          <w:szCs w:val="21"/>
        </w:rPr>
        <w:t>为前一日的基金资产净值扣除基金资产中目标</w:t>
      </w:r>
      <w:r>
        <w:rPr>
          <w:rFonts w:ascii="宋体" w:cs="Arial" w:hAnsi="宋体"/>
          <w:szCs w:val="21"/>
        </w:rPr>
        <w:t>ETF</w:t>
      </w:r>
      <w:r>
        <w:rPr>
          <w:rFonts w:ascii="宋体" w:cs="Arial" w:hAnsi="宋体"/>
          <w:szCs w:val="21"/>
        </w:rPr>
        <w:t>份额所对应资产净值后剩余部分，若为负数，则</w:t>
      </w:r>
      <w:r>
        <w:rPr>
          <w:rFonts w:ascii="宋体" w:cs="Arial" w:hAnsi="宋体"/>
          <w:szCs w:val="21"/>
        </w:rPr>
        <w:t xml:space="preserve"> E</w:t>
      </w:r>
      <w:r>
        <w:rPr>
          <w:rFonts w:ascii="宋体" w:cs="Arial" w:hAnsi="宋体"/>
          <w:szCs w:val="21"/>
        </w:rPr>
        <w:t>取</w:t>
      </w:r>
      <w:r>
        <w:rPr>
          <w:rFonts w:ascii="宋体" w:cs="Arial" w:hAnsi="宋体"/>
          <w:szCs w:val="21"/>
        </w:rPr>
        <w:t>0</w:t>
      </w:r>
      <w:r>
        <w:rPr>
          <w:rFonts w:ascii="宋体" w:cs="Arial" w:hAnsi="宋体"/>
          <w:szCs w:val="21"/>
        </w:rPr>
        <w:t>。</w:t>
      </w:r>
    </w:p>
    <w:p w14:paraId="0872CE9E"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（三）基金销售服</w:t>
      </w:r>
      <w:r>
        <w:rPr>
          <w:rFonts w:ascii="宋体" w:cs="Arial" w:hAnsi="宋体" w:hint="eastAsia"/>
          <w:szCs w:val="21"/>
        </w:rPr>
        <w:t>务费的计提比例和计提方法</w:t>
      </w:r>
    </w:p>
    <w:p w14:paraId="376D4783" w14:textId="77777777" w:rsidR="005465E4" w:rsidRDefault="00EB5FF5">
      <w:pPr>
        <w:spacing w:line="360" w:lineRule="auto"/>
        <w:ind w:firstLine="420" w:firstLineChars="200"/>
        <w:rPr>
          <w:rFonts w:ascii="宋体" w:cs="Arial" w:hAnsi="宋体"/>
          <w:szCs w:val="21"/>
        </w:rPr>
      </w:pPr>
      <w:r>
        <w:rPr>
          <w:rFonts w:ascii="宋体" w:cs="Arial" w:hAnsi="宋体"/>
          <w:szCs w:val="21"/>
        </w:rPr>
        <w:t>销售服务费可用于本基金市场推广、销售以及基金份额持有人服务等各项费用。本基金份额分为不同的类别，适用不同的销售服务费率。其中，</w:t>
      </w:r>
      <w:r>
        <w:rPr>
          <w:rFonts w:ascii="宋体" w:cs="Arial" w:hAnsi="宋体"/>
          <w:szCs w:val="21"/>
        </w:rPr>
        <w:t>A</w:t>
      </w:r>
      <w:r>
        <w:rPr>
          <w:rFonts w:ascii="宋体" w:cs="Arial" w:hAnsi="宋体"/>
          <w:szCs w:val="21"/>
        </w:rPr>
        <w:t>类不收取销售服务费，</w:t>
      </w:r>
      <w:r>
        <w:rPr>
          <w:rFonts w:ascii="宋体" w:cs="Arial" w:hAnsi="宋体"/>
          <w:szCs w:val="21"/>
        </w:rPr>
        <w:t>C</w:t>
      </w:r>
      <w:r>
        <w:rPr>
          <w:rFonts w:ascii="宋体" w:cs="Arial" w:hAnsi="宋体"/>
          <w:szCs w:val="21"/>
        </w:rPr>
        <w:t>类销售服务费年费率为</w:t>
      </w:r>
      <w:r>
        <w:rPr>
          <w:rFonts w:ascii="宋体" w:cs="Arial" w:hAnsi="宋体"/>
          <w:szCs w:val="21"/>
        </w:rPr>
        <w:t>0.</w:t>
      </w:r>
      <w:r>
        <w:rPr>
          <w:rFonts w:ascii="宋体" w:cs="Arial" w:hAnsi="宋体" w:hint="eastAsia"/>
          <w:szCs w:val="21"/>
        </w:rPr>
        <w:t>30</w:t>
      </w:r>
      <w:r>
        <w:rPr>
          <w:rFonts w:ascii="宋体" w:cs="Arial" w:hAnsi="宋体"/>
          <w:szCs w:val="21"/>
        </w:rPr>
        <w:t>%</w:t>
      </w:r>
      <w:r>
        <w:rPr>
          <w:rFonts w:ascii="宋体" w:cs="Arial" w:hAnsi="宋体" w:hint="eastAsia"/>
          <w:szCs w:val="21"/>
        </w:rPr>
        <w:t>，</w:t>
      </w:r>
      <w:r>
        <w:rPr>
          <w:rFonts w:ascii="宋体" w:cs="Arial" w:hAnsi="宋体" w:hint="eastAsia"/>
          <w:szCs w:val="21"/>
        </w:rPr>
        <w:t>D</w:t>
      </w:r>
      <w:r>
        <w:rPr>
          <w:rFonts w:ascii="宋体" w:cs="Arial" w:hAnsi="宋体" w:hint="eastAsia"/>
          <w:szCs w:val="21"/>
        </w:rPr>
        <w:t>类销售服务费年费率为</w:t>
      </w:r>
      <w:r>
        <w:rPr>
          <w:rFonts w:ascii="宋体" w:cs="Arial" w:hAnsi="宋体" w:hint="eastAsia"/>
          <w:szCs w:val="21"/>
        </w:rPr>
        <w:t>0.2</w:t>
      </w:r>
      <w:r>
        <w:rPr>
          <w:rFonts w:ascii="宋体" w:cs="Arial" w:hAnsi="宋体"/>
          <w:szCs w:val="21"/>
        </w:rPr>
        <w:t>0</w:t>
      </w:r>
      <w:r>
        <w:rPr>
          <w:rFonts w:ascii="宋体" w:cs="Arial" w:hAnsi="宋体" w:hint="eastAsia"/>
          <w:szCs w:val="21"/>
        </w:rPr>
        <w:t>%</w:t>
      </w:r>
      <w:r>
        <w:rPr>
          <w:rFonts w:ascii="宋体" w:cs="Arial" w:hAnsi="宋体"/>
          <w:szCs w:val="21"/>
        </w:rPr>
        <w:t>。</w:t>
      </w:r>
    </w:p>
    <w:p w14:paraId="765D3B54" w14:textId="77777777" w:rsidR="005465E4" w:rsidRDefault="00EB5FF5">
      <w:pPr>
        <w:spacing w:line="360" w:lineRule="auto"/>
        <w:ind w:firstLine="420" w:firstLineChars="200"/>
        <w:rPr>
          <w:rFonts w:ascii="宋体" w:cs="Arial" w:hAnsi="宋体"/>
          <w:szCs w:val="21"/>
        </w:rPr>
      </w:pPr>
      <w:r>
        <w:rPr>
          <w:rFonts w:ascii="宋体" w:cs="Arial" w:hAnsi="宋体"/>
          <w:szCs w:val="21"/>
        </w:rPr>
        <w:t>各类别基金份额的销售服务费计算方法如下：</w:t>
      </w:r>
    </w:p>
    <w:p w14:paraId="71B9F2C2" w14:textId="77777777" w:rsidR="005465E4" w:rsidRDefault="00EB5FF5">
      <w:pPr>
        <w:spacing w:line="360" w:lineRule="auto"/>
        <w:ind w:firstLine="420" w:firstLineChars="200"/>
        <w:rPr>
          <w:rFonts w:ascii="宋体" w:cs="Arial" w:hAnsi="宋体"/>
          <w:szCs w:val="21"/>
        </w:rPr>
      </w:pPr>
      <w:r>
        <w:rPr>
          <w:rFonts w:ascii="宋体" w:cs="Arial" w:hAnsi="宋体"/>
          <w:szCs w:val="21"/>
        </w:rPr>
        <w:t>H</w:t>
      </w:r>
      <w:r>
        <w:rPr>
          <w:rFonts w:ascii="宋体" w:cs="Arial" w:hAnsi="宋体"/>
          <w:szCs w:val="21"/>
        </w:rPr>
        <w:t>＝</w:t>
      </w:r>
      <w:r>
        <w:rPr>
          <w:rFonts w:ascii="宋体" w:cs="Arial" w:hAnsi="宋体"/>
          <w:szCs w:val="21"/>
        </w:rPr>
        <w:t>E×R÷</w:t>
      </w:r>
      <w:r>
        <w:rPr>
          <w:rFonts w:ascii="宋体" w:cs="Arial" w:hAnsi="宋体"/>
          <w:szCs w:val="21"/>
        </w:rPr>
        <w:t>当年天数</w:t>
      </w:r>
    </w:p>
    <w:p w14:paraId="05A2F664" w14:textId="77777777" w:rsidR="005465E4" w:rsidRDefault="00EB5FF5">
      <w:pPr>
        <w:spacing w:line="360" w:lineRule="auto"/>
        <w:ind w:firstLine="420" w:firstLineChars="200"/>
        <w:rPr>
          <w:rFonts w:ascii="宋体" w:cs="Arial" w:hAnsi="宋体"/>
          <w:szCs w:val="21"/>
        </w:rPr>
      </w:pPr>
      <w:r>
        <w:rPr>
          <w:rFonts w:ascii="宋体" w:cs="Arial" w:hAnsi="宋体"/>
          <w:szCs w:val="21"/>
        </w:rPr>
        <w:t>H</w:t>
      </w:r>
      <w:r>
        <w:rPr>
          <w:rFonts w:ascii="宋体" w:cs="Arial" w:hAnsi="宋体"/>
          <w:szCs w:val="21"/>
        </w:rPr>
        <w:t>为各类别基金份额每日应计提的销售服务费</w:t>
      </w:r>
    </w:p>
    <w:p w14:paraId="57D2FBD2" w14:textId="77777777" w:rsidR="005465E4" w:rsidRDefault="00EB5FF5">
      <w:pPr>
        <w:spacing w:line="360" w:lineRule="auto"/>
        <w:ind w:firstLine="420" w:firstLineChars="200"/>
        <w:rPr>
          <w:rFonts w:ascii="宋体" w:cs="Arial" w:hAnsi="宋体"/>
          <w:szCs w:val="21"/>
        </w:rPr>
      </w:pPr>
      <w:r>
        <w:rPr>
          <w:rFonts w:ascii="宋体" w:cs="Arial" w:hAnsi="宋体"/>
          <w:szCs w:val="21"/>
        </w:rPr>
        <w:t>E</w:t>
      </w:r>
      <w:r>
        <w:rPr>
          <w:rFonts w:ascii="宋体" w:cs="Arial" w:hAnsi="宋体"/>
          <w:szCs w:val="21"/>
        </w:rPr>
        <w:t>为各类别基金份额前一日基金资产净值</w:t>
      </w:r>
    </w:p>
    <w:p w14:paraId="5413888C" w14:textId="77777777" w:rsidR="005465E4" w:rsidRDefault="00EB5FF5">
      <w:pPr>
        <w:spacing w:line="360" w:lineRule="auto"/>
        <w:ind w:firstLine="420" w:firstLineChars="200"/>
        <w:rPr>
          <w:rFonts w:ascii="宋体" w:cs="Arial" w:hAnsi="宋体"/>
          <w:szCs w:val="21"/>
        </w:rPr>
      </w:pPr>
      <w:r>
        <w:rPr>
          <w:rFonts w:ascii="宋体" w:cs="Arial" w:hAnsi="宋体"/>
          <w:szCs w:val="21"/>
        </w:rPr>
        <w:t>R</w:t>
      </w:r>
      <w:r>
        <w:rPr>
          <w:rFonts w:ascii="宋体" w:cs="Arial" w:hAnsi="宋体"/>
          <w:szCs w:val="21"/>
        </w:rPr>
        <w:t>为各类别基金份额适用的销售服务费率</w:t>
      </w:r>
    </w:p>
    <w:p w14:paraId="0C6A33D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（四）基金的开户费用、证券</w:t>
      </w:r>
      <w:r>
        <w:rPr>
          <w:rFonts w:ascii="宋体" w:cs="Arial" w:hAnsi="宋体"/>
          <w:szCs w:val="21"/>
        </w:rPr>
        <w:t>/</w:t>
      </w:r>
      <w:r>
        <w:rPr>
          <w:rFonts w:ascii="宋体" w:cs="Arial" w:hAnsi="宋体" w:hint="eastAsia"/>
          <w:szCs w:val="21"/>
        </w:rPr>
        <w:t>期货交易费用、基金的银行汇划费用、账户维护费、基金合同生效后与基金相关的信息披露费用、基金份额持有人大会费用、基金合同生效后与基金有关的会计师费、律师费、仲裁费和诉讼费、基金上市费及年费、基金投资目标</w:t>
      </w:r>
      <w:r>
        <w:rPr>
          <w:rFonts w:ascii="宋体" w:cs="Arial" w:hAnsi="宋体"/>
          <w:szCs w:val="21"/>
        </w:rPr>
        <w:t>ETF</w:t>
      </w:r>
      <w:r>
        <w:rPr>
          <w:rFonts w:ascii="宋体" w:cs="Arial" w:hAnsi="宋体"/>
          <w:szCs w:val="21"/>
        </w:rPr>
        <w:t>的相关</w:t>
      </w:r>
      <w:r>
        <w:rPr>
          <w:rFonts w:ascii="宋体" w:cs="Arial" w:hAnsi="宋体" w:hint="eastAsia"/>
          <w:szCs w:val="21"/>
        </w:rPr>
        <w:t>费用（包括但不限于目标</w:t>
      </w:r>
      <w:r>
        <w:rPr>
          <w:rFonts w:ascii="宋体" w:cs="Arial" w:hAnsi="宋体"/>
          <w:szCs w:val="21"/>
        </w:rPr>
        <w:t>ETF</w:t>
      </w:r>
      <w:r>
        <w:rPr>
          <w:rFonts w:ascii="宋体" w:cs="Arial" w:hAnsi="宋体"/>
          <w:szCs w:val="21"/>
        </w:rPr>
        <w:t>的交易费用、申购赎回费用等）</w:t>
      </w:r>
      <w:r>
        <w:rPr>
          <w:rFonts w:ascii="宋体" w:cs="Arial" w:hAnsi="宋体" w:hint="eastAsia"/>
          <w:szCs w:val="21"/>
        </w:rPr>
        <w:t>、基金收益分配中发生的费用等根据有关法律法规、基金合同及相应协议的规定，列入当期基金费用。</w:t>
      </w:r>
    </w:p>
    <w:p w14:paraId="61543FF5"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基金管理人作为纳税主体有义务与所在地方税务机关保持联系和沟通，确认相关纳税品种和相关计算方式。产品成立后基金管理人须及时向基金托管人提供增值税相关税率方</w:t>
      </w:r>
      <w:r>
        <w:rPr>
          <w:rFonts w:ascii="宋体" w:cs="Arial" w:hAnsi="宋体" w:hint="eastAsia"/>
          <w:szCs w:val="21"/>
        </w:rPr>
        <w:t>案和参数方案。</w:t>
      </w:r>
    </w:p>
    <w:p w14:paraId="78268D5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（五）不列入基金费用的项目</w:t>
      </w:r>
    </w:p>
    <w:p w14:paraId="7A084B2B" w14:textId="77777777" w:rsidR="005465E4" w:rsidRDefault="00EB5FF5">
      <w:pPr>
        <w:numPr>
          <w:ilvl w:val="0"/>
          <w:numId w:val="21"/>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基金管理人和基金托管人因未履行或未完全履行义务导致的费用支出或基金财产的损失；</w:t>
      </w:r>
    </w:p>
    <w:p w14:paraId="2B389C72" w14:textId="77777777" w:rsidR="005465E4" w:rsidRDefault="00EB5FF5">
      <w:pPr>
        <w:numPr>
          <w:ilvl w:val="0"/>
          <w:numId w:val="21"/>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基金管理人和基金托管人处理与基金运作无关的事项发生的费用；</w:t>
      </w:r>
    </w:p>
    <w:p w14:paraId="35D68394" w14:textId="77777777" w:rsidR="005465E4" w:rsidRDefault="00EB5FF5">
      <w:pPr>
        <w:numPr>
          <w:ilvl w:val="0"/>
          <w:numId w:val="21"/>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基金合同生效前的相关费用；</w:t>
      </w:r>
    </w:p>
    <w:p w14:paraId="01828728" w14:textId="77777777" w:rsidR="005465E4" w:rsidRDefault="00EB5FF5">
      <w:pPr>
        <w:numPr>
          <w:ilvl w:val="0"/>
          <w:numId w:val="21"/>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其他根据相关法律法规及中国证监会的有关规</w:t>
      </w:r>
      <w:bookmarkStart w:id="197" w:name="_Hlt88827255"/>
      <w:bookmarkEnd w:id="197"/>
      <w:r>
        <w:rPr>
          <w:rStyle w:val="read"/>
          <w:rFonts w:ascii="宋体" w:hAnsi="宋体" w:hint="eastAsia"/>
          <w:szCs w:val="21"/>
        </w:rPr>
        <w:t>定不得列入基金费用的项目。</w:t>
      </w:r>
    </w:p>
    <w:p w14:paraId="0787BA7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（六）基金费用的调整</w:t>
      </w:r>
    </w:p>
    <w:p w14:paraId="7D090BCB" w14:textId="77777777" w:rsidR="005465E4" w:rsidRDefault="00EB5FF5">
      <w:pPr>
        <w:spacing w:line="360" w:lineRule="auto"/>
        <w:ind w:firstLine="420" w:firstLineChars="200"/>
        <w:rPr>
          <w:rFonts w:ascii="宋体" w:hAnsi="宋体"/>
          <w:szCs w:val="21"/>
        </w:rPr>
      </w:pPr>
      <w:r>
        <w:rPr>
          <w:rFonts w:hint="eastAsia"/>
          <w:bCs/>
          <w:szCs w:val="21"/>
        </w:rPr>
        <w:t>在遵守相关的法律法规并履行了必要的程序的前提下，基金管理人和基金托管人协商一致后可酌情降低基金管理费、基金托管费。基金管理人必须于新的费率实施日前按照《信息披露办法》的规定在规定媒介上刊登公告。</w:t>
      </w:r>
    </w:p>
    <w:p w14:paraId="5F1668A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（七）本基金运</w:t>
      </w:r>
      <w:r>
        <w:rPr>
          <w:rFonts w:ascii="宋体" w:cs="Arial" w:hAnsi="宋体" w:hint="eastAsia"/>
          <w:szCs w:val="21"/>
        </w:rPr>
        <w:t>作前产生的可以从基金财产中列支的相关费用由基金管理人垫付，运作后由基金管理人于次日起三个工作日内向基金托管人发送划付指令，经基金托管人复核后于三个工作日内从基金资产中一次性支付给基金管理人。</w:t>
      </w:r>
    </w:p>
    <w:p w14:paraId="79BA120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（八）基金管理费、基金托管费、基金销售服务费的复核程序、支付方式和时间</w:t>
      </w:r>
    </w:p>
    <w:p w14:paraId="72519ECE" w14:textId="77777777" w:rsidR="005465E4" w:rsidRDefault="00EB5FF5">
      <w:pPr>
        <w:numPr>
          <w:ilvl w:val="0"/>
          <w:numId w:val="2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复核程序</w:t>
      </w:r>
    </w:p>
    <w:p w14:paraId="40463B2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基金托管人对基金管理人计提的基金管理费、基金托管费、销售服务费等，根据本托管协议和基金合同的有关规定进行复核。</w:t>
      </w:r>
    </w:p>
    <w:p w14:paraId="6157F373" w14:textId="77777777" w:rsidR="005465E4" w:rsidRDefault="00EB5FF5">
      <w:pPr>
        <w:numPr>
          <w:ilvl w:val="0"/>
          <w:numId w:val="2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支付方式和时间</w:t>
      </w:r>
    </w:p>
    <w:p w14:paraId="06236A0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基金管理费、基金托管费每日计提，逐日累计至每月月末，按月支付。由基金托管人根据与基金管理人核对一致的财务数据，</w:t>
      </w:r>
      <w:r>
        <w:rPr>
          <w:rFonts w:ascii="宋体" w:cs="Arial" w:hAnsi="宋体" w:hint="eastAsia"/>
          <w:szCs w:val="21"/>
        </w:rPr>
        <w:t>自动在次月前</w:t>
      </w:r>
      <w:r>
        <w:rPr>
          <w:rFonts w:ascii="宋体" w:cs="Arial" w:hAnsi="宋体" w:hint="eastAsia"/>
          <w:szCs w:val="21"/>
        </w:rPr>
        <w:t>5</w:t>
      </w:r>
      <w:r>
        <w:rPr>
          <w:rFonts w:ascii="宋体" w:cs="Arial" w:hAnsi="宋体" w:hint="eastAsia"/>
          <w:szCs w:val="21"/>
        </w:rPr>
        <w:t>个工作日内、按照指定的账户路径进行资金支付，基金管理人无需再出具资金划拨指令。若遇法定节假日、公休日等，支付日期顺延。费用自动扣划后，基金管理人应进行核对，如发现数据不符，及时联系基金托管人协商解决。</w:t>
      </w:r>
    </w:p>
    <w:p w14:paraId="17A773E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销售服务费每日计算，逐日累计至每月月末，按月支付。由基金托管人根据与基金管理人核对一致的财务数据，自动在月初</w:t>
      </w:r>
      <w:r>
        <w:rPr>
          <w:rFonts w:ascii="宋体" w:cs="Arial" w:hAnsi="宋体"/>
          <w:szCs w:val="21"/>
        </w:rPr>
        <w:t>5</w:t>
      </w:r>
      <w:r>
        <w:rPr>
          <w:rFonts w:ascii="宋体" w:cs="Arial" w:hAnsi="宋体" w:hint="eastAsia"/>
          <w:szCs w:val="21"/>
        </w:rPr>
        <w:t>个工作日内从基金财产中一次性支付给登记机构，由登记机构代付给销售机构。若遇法定节假日、休息日等，支付日期顺延。费用自动扣划后，管理人应进行核对，如发现数据不符，及时联系托管人协商解决。</w:t>
      </w:r>
    </w:p>
    <w:p w14:paraId="0E16F55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（八）违规处理方式</w:t>
      </w:r>
    </w:p>
    <w:p w14:paraId="21CF8EF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基金托管人发现基金管理人违反《基金法》、基金合同、《运作办法》及其他有关规定从基金财产中列支费用时，基金托管人可要求基金管理人予以说明解释，如基金管理人无正当理由，基金托管人可拒绝支付。</w:t>
      </w:r>
    </w:p>
    <w:p w14:paraId="32AD14BE"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（九）实施侧袋机制期间的基金费用</w:t>
      </w:r>
    </w:p>
    <w:p w14:paraId="3501838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本基金实施侧袋机制的，与侧袋账户有关的费用可以从侧袋账户中列支，但应待侧袋账户资产变现后方可列支，有关费用可酌情收取或减免，但不得收取管理费，详见招募说明书的规定。</w:t>
      </w:r>
    </w:p>
    <w:p w14:paraId="161FCF53" w14:textId="77777777" w:rsidR="005465E4" w:rsidRDefault="005465E4">
      <w:pPr>
        <w:adjustRightInd w:val="0"/>
        <w:spacing w:line="360" w:lineRule="auto"/>
        <w:ind w:firstLine="420" w:firstLineChars="200"/>
        <w:rPr>
          <w:rFonts w:ascii="宋体" w:cs="Arial" w:hAnsi="宋体"/>
          <w:szCs w:val="21"/>
        </w:rPr>
      </w:pPr>
    </w:p>
    <w:p w14:paraId="5D61719A" w14:textId="77777777" w:rsidR="005465E4" w:rsidRDefault="00EB5FF5">
      <w:pPr>
        <w:pStyle w:val="1"/>
        <w:spacing w:after="0" w:before="0" w:line="360" w:lineRule="auto"/>
        <w:ind w:firstLine="422" w:firstLineChars="200"/>
        <w:jc w:val="center"/>
        <w:rPr>
          <w:rFonts w:ascii="宋体" w:hAnsi="宋体"/>
          <w:sz w:val="21"/>
          <w:szCs w:val="21"/>
        </w:rPr>
      </w:pPr>
      <w:bookmarkStart w:id="198" w:name="_Toc295833692"/>
      <w:bookmarkStart w:id="199" w:name="_Toc295832962"/>
      <w:bookmarkStart w:id="200" w:name="_Toc295832963"/>
      <w:bookmarkStart w:id="201" w:name="_Toc295832961"/>
      <w:bookmarkStart w:id="202" w:name="_Toc295833023"/>
      <w:bookmarkStart w:id="203" w:name="_Toc295833021"/>
      <w:bookmarkStart w:id="204" w:name="_Toc295833694"/>
      <w:bookmarkStart w:id="205" w:name="_Toc295833693"/>
      <w:bookmarkStart w:id="206" w:name="_Toc295833022"/>
      <w:bookmarkEnd w:id="198"/>
      <w:bookmarkEnd w:id="199"/>
      <w:bookmarkEnd w:id="200"/>
      <w:bookmarkEnd w:id="201"/>
      <w:bookmarkEnd w:id="202"/>
      <w:bookmarkEnd w:id="203"/>
      <w:bookmarkEnd w:id="204"/>
      <w:bookmarkEnd w:id="205"/>
      <w:bookmarkEnd w:id="206"/>
      <w:r>
        <w:rPr>
          <w:rFonts w:ascii="宋体" w:cs="Arial" w:hAnsi="宋体"/>
          <w:sz w:val="21"/>
          <w:szCs w:val="21"/>
        </w:rPr>
        <w:br w:type="page"/>
      </w:r>
      <w:bookmarkStart w:id="207" w:name="_Toc124325896"/>
      <w:bookmarkStart w:id="208" w:name="_Toc270669863"/>
      <w:bookmarkStart w:id="209" w:name="_Toc66879690"/>
      <w:r>
        <w:rPr>
          <w:rFonts w:ascii="宋体" w:hAnsi="宋体" w:hint="eastAsia"/>
          <w:sz w:val="21"/>
          <w:szCs w:val="21"/>
        </w:rPr>
        <w:t>十二、基金份额持有人名册的保管</w:t>
      </w:r>
      <w:bookmarkEnd w:id="207"/>
      <w:bookmarkEnd w:id="208"/>
      <w:bookmarkEnd w:id="209"/>
    </w:p>
    <w:p w14:paraId="7E50019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基金份额持有人名册至少应包括基金份额持有人的名称和持有的基金份额。基金份额持有人名册由基金登记机构根据基金管理人的指令编制和保管，保存期</w:t>
      </w:r>
      <w:r>
        <w:rPr>
          <w:rFonts w:ascii="宋体" w:hAnsi="宋体" w:hint="eastAsia"/>
          <w:bCs/>
          <w:szCs w:val="21"/>
        </w:rPr>
        <w:t>自基金账户销户之日起</w:t>
      </w:r>
      <w:r>
        <w:rPr>
          <w:rFonts w:ascii="宋体" w:cs="Arial" w:hAnsi="宋体" w:hint="eastAsia"/>
          <w:szCs w:val="21"/>
        </w:rPr>
        <w:t>不少于</w:t>
      </w:r>
      <w:r>
        <w:rPr>
          <w:rFonts w:ascii="宋体" w:cs="Arial" w:hAnsi="宋体" w:hint="eastAsia"/>
          <w:szCs w:val="21"/>
        </w:rPr>
        <w:t>20</w:t>
      </w:r>
      <w:r>
        <w:rPr>
          <w:rFonts w:ascii="宋体" w:cs="Arial" w:hAnsi="宋体" w:hint="eastAsia"/>
          <w:szCs w:val="21"/>
        </w:rPr>
        <w:t>年，基金管理人和基金托管人应分别保管基金份额持有人名册</w:t>
      </w:r>
      <w:r>
        <w:rPr>
          <w:rFonts w:ascii="宋体" w:hAnsi="宋体" w:hint="eastAsia"/>
          <w:bCs/>
          <w:szCs w:val="21"/>
        </w:rPr>
        <w:t>，保存期不少于</w:t>
      </w:r>
      <w:r>
        <w:rPr>
          <w:rFonts w:ascii="宋体" w:hAnsi="宋体" w:hint="eastAsia"/>
          <w:bCs/>
          <w:szCs w:val="21"/>
        </w:rPr>
        <w:t>15</w:t>
      </w:r>
      <w:r>
        <w:rPr>
          <w:rFonts w:ascii="宋体" w:hAnsi="宋体" w:hint="eastAsia"/>
          <w:bCs/>
          <w:szCs w:val="21"/>
        </w:rPr>
        <w:t>年，</w:t>
      </w:r>
      <w:r>
        <w:rPr>
          <w:rFonts w:ascii="宋体" w:hAnsi="宋体"/>
          <w:bCs/>
          <w:szCs w:val="21"/>
        </w:rPr>
        <w:t>法律法规另有规定或有权机关另有要求的除外</w:t>
      </w:r>
      <w:r>
        <w:rPr>
          <w:rFonts w:ascii="宋体" w:hAnsi="宋体" w:hint="eastAsia"/>
          <w:bCs/>
          <w:szCs w:val="21"/>
        </w:rPr>
        <w:t>。如不能妥善保管，则按相关法律法规承担责任。</w:t>
      </w:r>
    </w:p>
    <w:p w14:paraId="5E5A56EC" w14:textId="77777777" w:rsidR="005465E4" w:rsidRDefault="00EB5FF5">
      <w:pPr>
        <w:adjustRightInd w:val="0"/>
        <w:spacing w:line="360" w:lineRule="auto"/>
        <w:ind w:firstLine="420" w:firstLineChars="200"/>
        <w:rPr>
          <w:rFonts w:ascii="宋体" w:hAnsi="宋体"/>
          <w:kern w:val="0"/>
          <w:szCs w:val="21"/>
        </w:rPr>
      </w:pPr>
      <w:r>
        <w:rPr>
          <w:rFonts w:ascii="宋体" w:cs="Arial" w:hAnsi="宋体" w:hint="eastAsia"/>
          <w:szCs w:val="21"/>
        </w:rPr>
        <w:t>在基金托管人要求或编制中期报告和年报前，基金管理人应将有关资料送交基金托管人，不得无故拒绝或延误提供，并保证其的真实性、准确性和完整性。</w:t>
      </w:r>
      <w:r>
        <w:rPr>
          <w:rFonts w:ascii="宋体" w:hAnsi="宋体" w:hint="eastAsia"/>
          <w:kern w:val="0"/>
          <w:szCs w:val="21"/>
        </w:rPr>
        <w:t>基金托管人不得将所保管的基金份额持有人名册用于基</w:t>
      </w:r>
      <w:r>
        <w:rPr>
          <w:rFonts w:ascii="宋体" w:hAnsi="宋体" w:hint="eastAsia"/>
          <w:kern w:val="0"/>
          <w:szCs w:val="21"/>
        </w:rPr>
        <w:t>金托管业务以外的其他用途，并应遵守保密义务。</w:t>
      </w:r>
      <w:r>
        <w:rPr>
          <w:rFonts w:ascii="宋体" w:cs="Arial" w:hAnsi="宋体" w:hint="eastAsia"/>
          <w:szCs w:val="21"/>
        </w:rPr>
        <w:tab/>
      </w:r>
    </w:p>
    <w:p w14:paraId="4AC57DD1" w14:textId="77777777" w:rsidR="005465E4" w:rsidRDefault="00EB5FF5">
      <w:pPr>
        <w:pStyle w:val="1"/>
        <w:spacing w:after="0" w:before="0" w:line="360" w:lineRule="auto"/>
        <w:ind w:firstLine="422" w:firstLineChars="200"/>
        <w:jc w:val="center"/>
        <w:rPr>
          <w:rFonts w:ascii="宋体" w:hAnsi="宋体"/>
          <w:sz w:val="21"/>
          <w:szCs w:val="21"/>
        </w:rPr>
      </w:pPr>
      <w:bookmarkStart w:id="210" w:name="_Toc295833025"/>
      <w:bookmarkStart w:id="211" w:name="_Toc295833026"/>
      <w:bookmarkStart w:id="212" w:name="_Toc295832966"/>
      <w:bookmarkStart w:id="213" w:name="_Toc295833696"/>
      <w:bookmarkStart w:id="214" w:name="_Toc295833697"/>
      <w:bookmarkStart w:id="215" w:name="_Toc295832965"/>
      <w:bookmarkEnd w:id="210"/>
      <w:bookmarkEnd w:id="211"/>
      <w:bookmarkEnd w:id="212"/>
      <w:bookmarkEnd w:id="213"/>
      <w:bookmarkEnd w:id="214"/>
      <w:bookmarkEnd w:id="215"/>
      <w:r>
        <w:rPr>
          <w:rFonts w:ascii="宋体" w:cs="Arial" w:hAnsi="宋体"/>
          <w:sz w:val="21"/>
          <w:szCs w:val="21"/>
        </w:rPr>
        <w:br w:type="page"/>
      </w:r>
      <w:bookmarkStart w:id="216" w:name="_Toc295833698"/>
      <w:bookmarkStart w:id="217" w:name="_Toc295832967"/>
      <w:bookmarkStart w:id="218" w:name="_Toc295833027"/>
      <w:bookmarkStart w:id="219" w:name="_Toc124325897"/>
      <w:bookmarkStart w:id="220" w:name="_Toc66879691"/>
      <w:bookmarkStart w:id="221" w:name="_Toc270669864"/>
      <w:bookmarkEnd w:id="216"/>
      <w:bookmarkEnd w:id="217"/>
      <w:bookmarkEnd w:id="218"/>
      <w:r>
        <w:rPr>
          <w:rFonts w:ascii="宋体" w:hAnsi="宋体" w:hint="eastAsia"/>
          <w:sz w:val="21"/>
          <w:szCs w:val="21"/>
        </w:rPr>
        <w:t>十三、基金有关文件档案的保存</w:t>
      </w:r>
      <w:bookmarkEnd w:id="219"/>
      <w:bookmarkEnd w:id="220"/>
      <w:bookmarkEnd w:id="221"/>
    </w:p>
    <w:p w14:paraId="15788BD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（一）档案保存</w:t>
      </w:r>
    </w:p>
    <w:p w14:paraId="4C99E44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基金管理人应保存基金财产管理业务活动的记录、账册、报表和其他相关资料。基金托管人应保存基金托管业务活动的记录、账册、报表和其他相关资料。基金管理人和基金托管人都应当按规定的期限保管。其中基金托管人的保存期限不少于</w:t>
      </w:r>
      <w:r>
        <w:rPr>
          <w:rFonts w:ascii="宋体" w:cs="Arial" w:hAnsi="宋体"/>
          <w:szCs w:val="21"/>
        </w:rPr>
        <w:t>20</w:t>
      </w:r>
      <w:r>
        <w:rPr>
          <w:rFonts w:ascii="宋体" w:cs="Arial" w:hAnsi="宋体" w:hint="eastAsia"/>
          <w:szCs w:val="21"/>
        </w:rPr>
        <w:t>年</w:t>
      </w:r>
      <w:r>
        <w:rPr>
          <w:rFonts w:ascii="宋体" w:cs="Arial" w:hAnsi="宋体"/>
          <w:szCs w:val="21"/>
        </w:rPr>
        <w:t>，法律法规另有规定或有权机关另有要求的除外</w:t>
      </w:r>
      <w:r>
        <w:rPr>
          <w:rFonts w:ascii="宋体" w:cs="Arial" w:hAnsi="宋体" w:hint="eastAsia"/>
          <w:szCs w:val="21"/>
        </w:rPr>
        <w:t>。</w:t>
      </w:r>
    </w:p>
    <w:p w14:paraId="46D6D5C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（二）合同档案的建立</w:t>
      </w:r>
    </w:p>
    <w:p w14:paraId="3AD3FB4D" w14:textId="77777777" w:rsidR="005465E4" w:rsidRDefault="00EB5FF5">
      <w:pPr>
        <w:numPr>
          <w:ilvl w:val="0"/>
          <w:numId w:val="23"/>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基金管理人签署重大合同文本后，应及时将合同文本正本送达基金托管人处，</w:t>
      </w:r>
      <w:r>
        <w:rPr>
          <w:rFonts w:ascii="宋体" w:cs="Arial" w:hAnsi="宋体" w:hint="eastAsia"/>
          <w:szCs w:val="21"/>
        </w:rPr>
        <w:t>基金管理人应保证基金管理人和基金托管人至少各持有一份正本的原件</w:t>
      </w:r>
      <w:r>
        <w:rPr>
          <w:rStyle w:val="read"/>
          <w:rFonts w:ascii="宋体" w:hAnsi="宋体" w:hint="eastAsia"/>
          <w:szCs w:val="21"/>
        </w:rPr>
        <w:t>。</w:t>
      </w:r>
    </w:p>
    <w:p w14:paraId="715C81CD" w14:textId="77777777" w:rsidR="005465E4" w:rsidRDefault="00EB5FF5">
      <w:pPr>
        <w:numPr>
          <w:ilvl w:val="0"/>
          <w:numId w:val="23"/>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基金管理人应及时将与本基金账务处理、资金划拨等有关的合同、协议传真基金托管人。</w:t>
      </w:r>
    </w:p>
    <w:p w14:paraId="04EC849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（三）变更与协助</w:t>
      </w:r>
    </w:p>
    <w:p w14:paraId="00A77D16" w14:textId="77777777" w:rsidR="005465E4" w:rsidRDefault="00EB5FF5">
      <w:pPr>
        <w:adjustRightInd w:val="0"/>
        <w:spacing w:line="360" w:lineRule="auto"/>
        <w:ind w:firstLine="420" w:firstLineChars="200"/>
        <w:rPr>
          <w:rFonts w:ascii="宋体" w:hAnsi="宋体"/>
          <w:b/>
          <w:bCs/>
          <w:szCs w:val="21"/>
        </w:rPr>
      </w:pPr>
      <w:r>
        <w:rPr>
          <w:rFonts w:ascii="宋体" w:cs="Arial" w:hAnsi="宋体" w:hint="eastAsia"/>
          <w:szCs w:val="21"/>
        </w:rPr>
        <w:t>若基金管理人</w:t>
      </w:r>
      <w:r>
        <w:rPr>
          <w:rFonts w:ascii="宋体" w:cs="Arial" w:hAnsi="宋体" w:hint="eastAsia"/>
          <w:szCs w:val="21"/>
        </w:rPr>
        <w:t>/</w:t>
      </w:r>
      <w:r>
        <w:rPr>
          <w:rFonts w:ascii="宋体" w:cs="Arial" w:hAnsi="宋体" w:hint="eastAsia"/>
          <w:szCs w:val="21"/>
        </w:rPr>
        <w:t>基金托管人发生变更，未变更的一方有义务协助变更后的接任人接收相应文件。</w:t>
      </w:r>
    </w:p>
    <w:p w14:paraId="34765B8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（四）基金管理人和基金托管人应按各自职责完整保存原始凭证、记账凭证、基金账册、交易记录和重要合同等，承担保密义务并按各自规定的期限保管，其中基金托管人应保存至少二十年以上，</w:t>
      </w:r>
      <w:r>
        <w:rPr>
          <w:rFonts w:ascii="宋体" w:cs="Arial" w:hAnsi="宋体"/>
          <w:szCs w:val="21"/>
        </w:rPr>
        <w:t>法律法规另有规定或有权机关另有要求的除外</w:t>
      </w:r>
      <w:r>
        <w:rPr>
          <w:rFonts w:ascii="宋体" w:cs="Arial" w:hAnsi="宋体" w:hint="eastAsia"/>
          <w:szCs w:val="21"/>
        </w:rPr>
        <w:t>。</w:t>
      </w:r>
    </w:p>
    <w:p w14:paraId="3BA14BA4" w14:textId="77777777" w:rsidR="005465E4" w:rsidRDefault="00EB5FF5">
      <w:pPr>
        <w:pStyle w:val="1"/>
        <w:spacing w:after="0" w:before="0" w:line="360" w:lineRule="auto"/>
        <w:ind w:firstLine="422" w:firstLineChars="200"/>
        <w:jc w:val="center"/>
        <w:rPr>
          <w:sz w:val="21"/>
          <w:szCs w:val="21"/>
        </w:rPr>
      </w:pPr>
      <w:r>
        <w:rPr>
          <w:rFonts w:ascii="宋体" w:hAnsi="宋体"/>
          <w:sz w:val="21"/>
          <w:szCs w:val="21"/>
        </w:rPr>
        <w:br w:type="page"/>
      </w:r>
      <w:r>
        <w:rPr>
          <w:rFonts w:ascii="宋体" w:hAnsi="宋体" w:hint="eastAsia"/>
          <w:sz w:val="21"/>
          <w:szCs w:val="21"/>
        </w:rPr>
        <w:t xml:space="preserve"> </w:t>
      </w:r>
      <w:bookmarkStart w:id="222" w:name="_Toc295833700"/>
      <w:bookmarkStart w:id="223" w:name="_Toc295832969"/>
      <w:bookmarkStart w:id="224" w:name="_Toc295833029"/>
      <w:bookmarkStart w:id="225" w:name="_Toc270669865"/>
      <w:bookmarkStart w:id="226" w:name="_Toc124325898"/>
      <w:bookmarkStart w:id="227" w:name="_Toc295833701"/>
      <w:bookmarkStart w:id="228" w:name="_Toc66879692"/>
      <w:bookmarkEnd w:id="222"/>
      <w:bookmarkEnd w:id="223"/>
      <w:bookmarkEnd w:id="224"/>
      <w:r>
        <w:rPr>
          <w:rFonts w:ascii="宋体" w:hAnsi="宋体" w:hint="eastAsia"/>
          <w:sz w:val="21"/>
          <w:szCs w:val="21"/>
        </w:rPr>
        <w:t>十四、基金管理人和基金托管人的更换</w:t>
      </w:r>
      <w:bookmarkEnd w:id="225"/>
      <w:bookmarkEnd w:id="226"/>
      <w:bookmarkEnd w:id="227"/>
      <w:bookmarkEnd w:id="228"/>
    </w:p>
    <w:p w14:paraId="35DFA78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（一）基金管理人的更换</w:t>
      </w:r>
    </w:p>
    <w:p w14:paraId="602A0EFA" w14:textId="77777777" w:rsidR="005465E4" w:rsidRDefault="00EB5FF5">
      <w:pPr>
        <w:numPr>
          <w:ilvl w:val="0"/>
          <w:numId w:val="24"/>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基金管理人的更换条件</w:t>
      </w:r>
    </w:p>
    <w:p w14:paraId="488D641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有下列情形之一的，基金管理人职责终止：</w:t>
      </w:r>
    </w:p>
    <w:p w14:paraId="73467776" w14:textId="77777777" w:rsidR="005465E4" w:rsidRDefault="00EB5FF5">
      <w:pPr>
        <w:numPr>
          <w:ilvl w:val="0"/>
          <w:numId w:val="25"/>
        </w:numPr>
        <w:adjustRightInd w:val="0"/>
        <w:spacing w:line="360" w:lineRule="auto"/>
        <w:ind w:firstLine="420" w:firstLineChars="200" w:left="0"/>
        <w:rPr>
          <w:rFonts w:ascii="宋体" w:cs="Arial" w:hAnsi="宋体"/>
          <w:szCs w:val="21"/>
        </w:rPr>
      </w:pPr>
      <w:r>
        <w:rPr>
          <w:rFonts w:ascii="宋体" w:cs="Arial" w:hAnsi="宋体"/>
          <w:szCs w:val="21"/>
        </w:rPr>
        <w:t>基金管理人被依法取消基金管理资格</w:t>
      </w:r>
      <w:r>
        <w:rPr>
          <w:rFonts w:ascii="宋体" w:cs="Arial" w:hAnsi="宋体" w:hint="eastAsia"/>
          <w:szCs w:val="21"/>
        </w:rPr>
        <w:t>；</w:t>
      </w:r>
    </w:p>
    <w:p w14:paraId="7161DC48" w14:textId="77777777" w:rsidR="005465E4" w:rsidRDefault="00EB5FF5">
      <w:pPr>
        <w:numPr>
          <w:ilvl w:val="0"/>
          <w:numId w:val="25"/>
        </w:numPr>
        <w:adjustRightInd w:val="0"/>
        <w:spacing w:line="360" w:lineRule="auto"/>
        <w:ind w:firstLine="420" w:firstLineChars="200" w:left="0"/>
        <w:rPr>
          <w:rFonts w:ascii="宋体" w:cs="Arial" w:hAnsi="宋体"/>
          <w:szCs w:val="21"/>
        </w:rPr>
      </w:pPr>
      <w:r>
        <w:rPr>
          <w:rFonts w:ascii="宋体" w:cs="Arial" w:hAnsi="宋体" w:hint="eastAsia"/>
          <w:szCs w:val="21"/>
        </w:rPr>
        <w:t>基金管理人被基金份额持有人大会解任；</w:t>
      </w:r>
    </w:p>
    <w:p w14:paraId="524C9E15" w14:textId="77777777" w:rsidR="005465E4" w:rsidRDefault="00EB5FF5">
      <w:pPr>
        <w:numPr>
          <w:ilvl w:val="0"/>
          <w:numId w:val="25"/>
        </w:numPr>
        <w:adjustRightInd w:val="0"/>
        <w:spacing w:line="360" w:lineRule="auto"/>
        <w:ind w:firstLine="420" w:firstLineChars="200" w:left="0"/>
        <w:rPr>
          <w:rFonts w:ascii="宋体" w:cs="Arial" w:hAnsi="宋体"/>
          <w:szCs w:val="21"/>
        </w:rPr>
      </w:pPr>
      <w:r>
        <w:rPr>
          <w:rFonts w:ascii="宋体" w:cs="Arial" w:hAnsi="宋体" w:hint="eastAsia"/>
          <w:szCs w:val="21"/>
        </w:rPr>
        <w:t>基金管理人依法解散、被依法撤销或被依法宣告破产；</w:t>
      </w:r>
      <w:r>
        <w:rPr>
          <w:rFonts w:ascii="宋体" w:cs="Arial" w:hAnsi="宋体" w:hint="eastAsia"/>
          <w:szCs w:val="21"/>
        </w:rPr>
        <w:t xml:space="preserve"> </w:t>
      </w:r>
    </w:p>
    <w:p w14:paraId="60596312" w14:textId="77777777" w:rsidR="005465E4" w:rsidRDefault="00EB5FF5">
      <w:pPr>
        <w:numPr>
          <w:ilvl w:val="0"/>
          <w:numId w:val="25"/>
        </w:numPr>
        <w:adjustRightInd w:val="0"/>
        <w:spacing w:line="360" w:lineRule="auto"/>
        <w:ind w:firstLine="420" w:firstLineChars="200" w:left="0"/>
        <w:rPr>
          <w:rFonts w:ascii="宋体" w:cs="Arial" w:hAnsi="宋体"/>
          <w:szCs w:val="21"/>
        </w:rPr>
      </w:pPr>
      <w:r>
        <w:rPr>
          <w:rFonts w:ascii="宋体" w:cs="Arial" w:hAnsi="宋体"/>
          <w:szCs w:val="21"/>
        </w:rPr>
        <w:t>法律法规</w:t>
      </w:r>
      <w:r>
        <w:rPr>
          <w:rFonts w:ascii="宋体" w:cs="Arial" w:hAnsi="宋体" w:hint="eastAsia"/>
          <w:szCs w:val="21"/>
        </w:rPr>
        <w:t>及中国证监会规定的</w:t>
      </w:r>
      <w:r>
        <w:rPr>
          <w:rFonts w:ascii="宋体" w:cs="Arial" w:hAnsi="宋体"/>
          <w:szCs w:val="21"/>
        </w:rPr>
        <w:t>和</w:t>
      </w:r>
      <w:r>
        <w:rPr>
          <w:rFonts w:ascii="宋体" w:cs="Arial" w:hAnsi="宋体" w:hint="eastAsia"/>
          <w:szCs w:val="21"/>
        </w:rPr>
        <w:t>《</w:t>
      </w:r>
      <w:r>
        <w:rPr>
          <w:rFonts w:ascii="宋体" w:cs="Arial" w:hAnsi="宋体"/>
          <w:szCs w:val="21"/>
        </w:rPr>
        <w:t>基金合同</w:t>
      </w:r>
      <w:r>
        <w:rPr>
          <w:rFonts w:ascii="宋体" w:cs="Arial" w:hAnsi="宋体" w:hint="eastAsia"/>
          <w:szCs w:val="21"/>
        </w:rPr>
        <w:t>》约</w:t>
      </w:r>
      <w:r>
        <w:rPr>
          <w:rFonts w:ascii="宋体" w:cs="Arial" w:hAnsi="宋体"/>
          <w:szCs w:val="21"/>
        </w:rPr>
        <w:t>定的其他情形</w:t>
      </w:r>
      <w:r>
        <w:rPr>
          <w:rFonts w:ascii="宋体" w:cs="Arial" w:hAnsi="宋体" w:hint="eastAsia"/>
          <w:szCs w:val="21"/>
        </w:rPr>
        <w:t>。</w:t>
      </w:r>
    </w:p>
    <w:p w14:paraId="603A8267" w14:textId="77777777" w:rsidR="005465E4" w:rsidRDefault="00EB5FF5">
      <w:pPr>
        <w:numPr>
          <w:ilvl w:val="0"/>
          <w:numId w:val="24"/>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基金管理人的更换程序</w:t>
      </w:r>
    </w:p>
    <w:p w14:paraId="3FA99397"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更换基金管理人必须依照如下程序进行：</w:t>
      </w:r>
    </w:p>
    <w:p w14:paraId="678FF074" w14:textId="77777777" w:rsidR="005465E4" w:rsidRDefault="00EB5FF5">
      <w:pPr>
        <w:numPr>
          <w:ilvl w:val="0"/>
          <w:numId w:val="26"/>
        </w:numPr>
        <w:adjustRightInd w:val="0"/>
        <w:spacing w:line="360" w:lineRule="auto"/>
        <w:ind w:firstLine="420" w:firstLineChars="200" w:left="0"/>
        <w:rPr>
          <w:rFonts w:ascii="宋体" w:cs="Arial" w:hAnsi="宋体"/>
          <w:szCs w:val="21"/>
        </w:rPr>
      </w:pPr>
      <w:r>
        <w:rPr>
          <w:rFonts w:ascii="宋体" w:cs="Arial" w:hAnsi="宋体" w:hint="eastAsia"/>
          <w:szCs w:val="21"/>
        </w:rPr>
        <w:t>提名：新任基金管理人由基金托管人或由单独或合计持有</w:t>
      </w:r>
      <w:r>
        <w:rPr>
          <w:rFonts w:ascii="宋体" w:cs="Arial" w:hAnsi="宋体" w:hint="eastAsia"/>
          <w:szCs w:val="21"/>
        </w:rPr>
        <w:t>10%</w:t>
      </w:r>
      <w:r>
        <w:rPr>
          <w:rFonts w:ascii="宋体" w:cs="Arial" w:hAnsi="宋体" w:hint="eastAsia"/>
          <w:szCs w:val="21"/>
        </w:rPr>
        <w:t>以上</w:t>
      </w:r>
      <w:r>
        <w:rPr>
          <w:rFonts w:ascii="宋体" w:cs="Arial" w:hAnsi="宋体" w:hint="eastAsia"/>
          <w:szCs w:val="21"/>
        </w:rPr>
        <w:t>(</w:t>
      </w:r>
      <w:r>
        <w:rPr>
          <w:rFonts w:ascii="宋体" w:cs="Arial" w:hAnsi="宋体" w:hint="eastAsia"/>
          <w:szCs w:val="21"/>
        </w:rPr>
        <w:t>含</w:t>
      </w:r>
      <w:r>
        <w:rPr>
          <w:rFonts w:ascii="宋体" w:cs="Arial" w:hAnsi="宋体" w:hint="eastAsia"/>
          <w:szCs w:val="21"/>
        </w:rPr>
        <w:t>10%)</w:t>
      </w:r>
      <w:r>
        <w:rPr>
          <w:rFonts w:ascii="宋体" w:cs="Arial" w:hAnsi="宋体" w:hint="eastAsia"/>
          <w:szCs w:val="21"/>
        </w:rPr>
        <w:t>基金份额的基金份额持有人提名；</w:t>
      </w:r>
    </w:p>
    <w:p w14:paraId="180881DD" w14:textId="77777777" w:rsidR="005465E4" w:rsidRDefault="00EB5FF5">
      <w:pPr>
        <w:numPr>
          <w:ilvl w:val="0"/>
          <w:numId w:val="26"/>
        </w:numPr>
        <w:adjustRightInd w:val="0"/>
        <w:spacing w:line="360" w:lineRule="auto"/>
        <w:ind w:firstLine="420" w:firstLineChars="200" w:left="0"/>
        <w:rPr>
          <w:rFonts w:ascii="宋体" w:cs="Arial" w:hAnsi="宋体"/>
          <w:szCs w:val="21"/>
        </w:rPr>
      </w:pPr>
      <w:r>
        <w:rPr>
          <w:rFonts w:ascii="宋体" w:cs="Arial" w:hAnsi="宋体" w:hint="eastAsia"/>
          <w:szCs w:val="21"/>
        </w:rPr>
        <w:t>决议：基金份额持有人大会在基金管理人职责终止后</w:t>
      </w:r>
      <w:r>
        <w:rPr>
          <w:rFonts w:ascii="宋体" w:cs="Arial" w:hAnsi="宋体" w:hint="eastAsia"/>
          <w:szCs w:val="21"/>
        </w:rPr>
        <w:t>6</w:t>
      </w:r>
      <w:r>
        <w:rPr>
          <w:rFonts w:ascii="宋体" w:cs="Arial" w:hAnsi="宋体" w:hint="eastAsia"/>
          <w:szCs w:val="21"/>
        </w:rPr>
        <w:t>个月内对被提名的基金管理人形成决议，</w:t>
      </w:r>
      <w:r>
        <w:rPr>
          <w:rFonts w:ascii="宋体" w:cs="Arial" w:hAnsi="宋体"/>
          <w:bCs/>
          <w:szCs w:val="21"/>
        </w:rPr>
        <w:t>该决议需经参加大会的基金份额持有人所持表决权的</w:t>
      </w:r>
      <w:r>
        <w:rPr>
          <w:rFonts w:ascii="宋体" w:cs="Arial" w:hAnsi="宋体" w:hint="eastAsia"/>
          <w:bCs/>
          <w:szCs w:val="21"/>
        </w:rPr>
        <w:t>三分之二</w:t>
      </w:r>
      <w:r>
        <w:rPr>
          <w:rFonts w:ascii="宋体" w:cs="Arial" w:hAnsi="宋体"/>
          <w:bCs/>
          <w:szCs w:val="21"/>
        </w:rPr>
        <w:t>以上（含</w:t>
      </w:r>
      <w:r>
        <w:rPr>
          <w:rFonts w:ascii="宋体" w:cs="Arial" w:hAnsi="宋体" w:hint="eastAsia"/>
          <w:bCs/>
          <w:szCs w:val="21"/>
        </w:rPr>
        <w:t>三</w:t>
      </w:r>
      <w:r>
        <w:rPr>
          <w:rFonts w:ascii="宋体" w:cs="Arial" w:hAnsi="宋体" w:hint="eastAsia"/>
          <w:szCs w:val="21"/>
        </w:rPr>
        <w:t>分之二</w:t>
      </w:r>
      <w:r>
        <w:rPr>
          <w:rFonts w:ascii="宋体" w:cs="Arial" w:hAnsi="宋体"/>
          <w:szCs w:val="21"/>
        </w:rPr>
        <w:t>）表决通过</w:t>
      </w:r>
      <w:r>
        <w:rPr>
          <w:rFonts w:ascii="宋体" w:cs="Arial" w:hAnsi="宋体" w:hint="eastAsia"/>
          <w:szCs w:val="21"/>
        </w:rPr>
        <w:t>，决议自表决通过之日起生效；</w:t>
      </w:r>
      <w:r>
        <w:rPr>
          <w:rFonts w:ascii="宋体" w:cs="Arial" w:hAnsi="宋体"/>
          <w:szCs w:val="21"/>
        </w:rPr>
        <w:t xml:space="preserve"> </w:t>
      </w:r>
    </w:p>
    <w:p w14:paraId="196AA818" w14:textId="77777777" w:rsidR="005465E4" w:rsidRDefault="00EB5FF5">
      <w:pPr>
        <w:numPr>
          <w:ilvl w:val="0"/>
          <w:numId w:val="26"/>
        </w:numPr>
        <w:adjustRightInd w:val="0"/>
        <w:spacing w:line="360" w:lineRule="auto"/>
        <w:ind w:firstLine="420" w:firstLineChars="200" w:left="0"/>
        <w:rPr>
          <w:rFonts w:ascii="宋体" w:cs="Arial" w:hAnsi="宋体"/>
          <w:szCs w:val="21"/>
        </w:rPr>
      </w:pPr>
      <w:r>
        <w:rPr>
          <w:rFonts w:ascii="宋体" w:cs="Arial" w:hAnsi="宋体" w:hint="eastAsia"/>
          <w:szCs w:val="21"/>
        </w:rPr>
        <w:t>临时基金管理人：新任基金管理人产生之前，由中国证监会指定临时基金管理人；</w:t>
      </w:r>
    </w:p>
    <w:p w14:paraId="2BBF6C06" w14:textId="77777777" w:rsidR="005465E4" w:rsidRDefault="00EB5FF5">
      <w:pPr>
        <w:numPr>
          <w:ilvl w:val="0"/>
          <w:numId w:val="26"/>
        </w:numPr>
        <w:adjustRightInd w:val="0"/>
        <w:spacing w:line="360" w:lineRule="auto"/>
        <w:ind w:firstLine="420" w:firstLineChars="200" w:left="0"/>
        <w:rPr>
          <w:rFonts w:ascii="宋体" w:cs="Arial" w:hAnsi="宋体"/>
          <w:bCs/>
          <w:szCs w:val="21"/>
        </w:rPr>
      </w:pPr>
      <w:r>
        <w:rPr>
          <w:rFonts w:ascii="宋体" w:cs="Arial" w:hAnsi="宋体" w:hint="eastAsia"/>
          <w:bCs/>
          <w:szCs w:val="21"/>
        </w:rPr>
        <w:t>备案：基金份额持有人大会选任基金管理人的决议须报中国证监会备案；</w:t>
      </w:r>
    </w:p>
    <w:p w14:paraId="699FEAB5" w14:textId="77777777" w:rsidR="005465E4" w:rsidRDefault="00EB5FF5">
      <w:pPr>
        <w:numPr>
          <w:ilvl w:val="0"/>
          <w:numId w:val="26"/>
        </w:numPr>
        <w:adjustRightInd w:val="0"/>
        <w:spacing w:line="360" w:lineRule="auto"/>
        <w:ind w:firstLine="420" w:firstLineChars="200" w:left="0"/>
        <w:rPr>
          <w:rFonts w:ascii="宋体" w:cs="Arial" w:hAnsi="宋体"/>
          <w:szCs w:val="21"/>
        </w:rPr>
      </w:pPr>
      <w:r>
        <w:rPr>
          <w:rFonts w:ascii="宋体" w:cs="Arial" w:hAnsi="宋体" w:hint="eastAsia"/>
          <w:bCs/>
          <w:szCs w:val="21"/>
        </w:rPr>
        <w:t>公告：基金管理人更换后，由基金托管人在更换基金管理人的基金份额持有人大会决议生效后</w:t>
      </w:r>
      <w:r>
        <w:rPr>
          <w:rFonts w:ascii="宋体" w:cs="Arial" w:hAnsi="宋体" w:hint="eastAsia"/>
          <w:bCs/>
          <w:szCs w:val="21"/>
        </w:rPr>
        <w:t>2</w:t>
      </w:r>
      <w:r>
        <w:rPr>
          <w:rFonts w:ascii="宋体" w:cs="Arial" w:hAnsi="宋体" w:hint="eastAsia"/>
          <w:bCs/>
          <w:szCs w:val="21"/>
        </w:rPr>
        <w:t>日内在规定媒介公告</w:t>
      </w:r>
      <w:r>
        <w:rPr>
          <w:rFonts w:ascii="宋体" w:cs="Arial" w:hAnsi="宋体" w:hint="eastAsia"/>
          <w:szCs w:val="21"/>
        </w:rPr>
        <w:t>；</w:t>
      </w:r>
    </w:p>
    <w:p w14:paraId="36FC1B5D" w14:textId="77777777" w:rsidR="005465E4" w:rsidRDefault="00EB5FF5">
      <w:pPr>
        <w:numPr>
          <w:ilvl w:val="0"/>
          <w:numId w:val="26"/>
        </w:numPr>
        <w:adjustRightInd w:val="0"/>
        <w:spacing w:line="360" w:lineRule="auto"/>
        <w:ind w:firstLine="420" w:firstLineChars="200" w:left="0"/>
        <w:rPr>
          <w:rFonts w:ascii="宋体" w:cs="Arial" w:hAnsi="宋体"/>
          <w:bCs/>
          <w:szCs w:val="21"/>
        </w:rPr>
      </w:pPr>
      <w:r>
        <w:rPr>
          <w:rFonts w:ascii="宋体" w:cs="Arial" w:hAnsi="宋体" w:hint="eastAsia"/>
          <w:szCs w:val="21"/>
        </w:rPr>
        <w:t>交接：基金管理人职责终止的，基金管理人应妥善保管基金管理业务资料，及时向临时基金管理人或新任基金管理人办理基金管理业务的移交手续，临时基金管理人或新任基金</w:t>
      </w:r>
      <w:r>
        <w:rPr>
          <w:rFonts w:ascii="宋体" w:cs="Arial" w:hAnsi="宋体" w:hint="eastAsia"/>
          <w:szCs w:val="21"/>
        </w:rPr>
        <w:t>管理人应及时接收。</w:t>
      </w:r>
      <w:r>
        <w:rPr>
          <w:rFonts w:ascii="宋体" w:cs="Arial" w:hAnsi="宋体" w:hint="eastAsia"/>
          <w:bCs/>
          <w:szCs w:val="21"/>
        </w:rPr>
        <w:t>临时基金管理人或新任基金管理人应与基金托管人核对基金资产总值和净值；</w:t>
      </w:r>
    </w:p>
    <w:p w14:paraId="00B29110" w14:textId="77777777" w:rsidR="005465E4" w:rsidRDefault="00EB5FF5">
      <w:pPr>
        <w:numPr>
          <w:ilvl w:val="0"/>
          <w:numId w:val="26"/>
        </w:numPr>
        <w:adjustRightInd w:val="0"/>
        <w:spacing w:line="360" w:lineRule="auto"/>
        <w:ind w:firstLine="420" w:firstLineChars="200" w:left="0"/>
        <w:rPr>
          <w:rFonts w:ascii="宋体" w:cs="Arial" w:hAnsi="宋体"/>
          <w:szCs w:val="21"/>
        </w:rPr>
      </w:pPr>
      <w:r>
        <w:rPr>
          <w:rFonts w:ascii="宋体" w:cs="Arial" w:hAnsi="宋体" w:hint="eastAsia"/>
          <w:bCs/>
          <w:szCs w:val="21"/>
        </w:rPr>
        <w:t>审计：基金管理人职责终止的，应当按照法律法规规定聘请会计师事务所对基金财产进行审计，并将审计结果予以公告，同时报中国证监会备案，审计</w:t>
      </w:r>
      <w:r>
        <w:rPr>
          <w:rFonts w:ascii="宋体" w:cs="Arial" w:hAnsi="宋体" w:hint="eastAsia"/>
          <w:szCs w:val="21"/>
        </w:rPr>
        <w:t>费用由基金财产承担；</w:t>
      </w:r>
    </w:p>
    <w:p w14:paraId="5D73B0DB" w14:textId="77777777" w:rsidR="005465E4" w:rsidRDefault="00EB5FF5">
      <w:pPr>
        <w:numPr>
          <w:ilvl w:val="0"/>
          <w:numId w:val="26"/>
        </w:numPr>
        <w:adjustRightInd w:val="0"/>
        <w:spacing w:line="360" w:lineRule="auto"/>
        <w:ind w:firstLine="420" w:firstLineChars="200" w:left="0"/>
        <w:rPr>
          <w:rFonts w:ascii="宋体" w:cs="Arial" w:hAnsi="宋体"/>
          <w:szCs w:val="21"/>
        </w:rPr>
      </w:pPr>
      <w:r>
        <w:rPr>
          <w:rFonts w:ascii="宋体" w:cs="Arial" w:hAnsi="宋体" w:hint="eastAsia"/>
          <w:szCs w:val="21"/>
        </w:rPr>
        <w:t xml:space="preserve"> </w:t>
      </w:r>
      <w:r>
        <w:rPr>
          <w:rFonts w:ascii="宋体" w:cs="Arial" w:hAnsi="宋体" w:hint="eastAsia"/>
          <w:szCs w:val="21"/>
        </w:rPr>
        <w:t>基金名称变更：基金管理人更换后，如果原任或新任基金管理人要求，应按其要求替换或删除基金名称中与原基金管理人有关的名称字样。</w:t>
      </w:r>
    </w:p>
    <w:p w14:paraId="3A54BB8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（二）基金托管人的更换</w:t>
      </w:r>
    </w:p>
    <w:p w14:paraId="5FAB9DB5" w14:textId="77777777" w:rsidR="005465E4" w:rsidRDefault="00EB5FF5">
      <w:pPr>
        <w:numPr>
          <w:ilvl w:val="0"/>
          <w:numId w:val="27"/>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基金托管人的更换条件</w:t>
      </w:r>
    </w:p>
    <w:p w14:paraId="55CE1D4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有下列情形之一的，基金托管人职责终止：</w:t>
      </w:r>
    </w:p>
    <w:p w14:paraId="5F45A4D9" w14:textId="77777777" w:rsidR="005465E4" w:rsidRDefault="00EB5FF5">
      <w:pPr>
        <w:numPr>
          <w:ilvl w:val="0"/>
          <w:numId w:val="28"/>
        </w:numPr>
        <w:adjustRightInd w:val="0"/>
        <w:spacing w:line="360" w:lineRule="auto"/>
        <w:ind w:firstLine="420" w:firstLineChars="200" w:left="0"/>
        <w:rPr>
          <w:rFonts w:ascii="宋体" w:cs="Arial" w:hAnsi="宋体"/>
          <w:szCs w:val="21"/>
        </w:rPr>
      </w:pPr>
      <w:r>
        <w:rPr>
          <w:rFonts w:ascii="宋体" w:cs="Arial" w:hAnsi="宋体"/>
          <w:szCs w:val="21"/>
        </w:rPr>
        <w:t>基金托管人被依法取消基金托管资格</w:t>
      </w:r>
      <w:r>
        <w:rPr>
          <w:rFonts w:ascii="宋体" w:cs="Arial" w:hAnsi="宋体" w:hint="eastAsia"/>
          <w:szCs w:val="21"/>
        </w:rPr>
        <w:t>；</w:t>
      </w:r>
    </w:p>
    <w:p w14:paraId="0DD20F4C" w14:textId="77777777" w:rsidR="005465E4" w:rsidRDefault="00EB5FF5">
      <w:pPr>
        <w:numPr>
          <w:ilvl w:val="0"/>
          <w:numId w:val="28"/>
        </w:numPr>
        <w:adjustRightInd w:val="0"/>
        <w:spacing w:line="360" w:lineRule="auto"/>
        <w:ind w:firstLine="420" w:firstLineChars="200" w:left="0"/>
        <w:rPr>
          <w:rFonts w:ascii="宋体" w:cs="Arial" w:hAnsi="宋体"/>
          <w:szCs w:val="21"/>
        </w:rPr>
      </w:pPr>
      <w:r>
        <w:rPr>
          <w:rFonts w:ascii="宋体" w:cs="Arial" w:hAnsi="宋体" w:hint="eastAsia"/>
          <w:szCs w:val="21"/>
        </w:rPr>
        <w:t>基金托管人被基金份额持有人大会解任；</w:t>
      </w:r>
    </w:p>
    <w:p w14:paraId="4EA190C1" w14:textId="77777777" w:rsidR="005465E4" w:rsidRDefault="00EB5FF5">
      <w:pPr>
        <w:numPr>
          <w:ilvl w:val="0"/>
          <w:numId w:val="28"/>
        </w:numPr>
        <w:adjustRightInd w:val="0"/>
        <w:spacing w:line="360" w:lineRule="auto"/>
        <w:ind w:firstLine="420" w:firstLineChars="200" w:left="0"/>
        <w:rPr>
          <w:rFonts w:ascii="宋体" w:cs="Arial" w:hAnsi="宋体"/>
          <w:szCs w:val="21"/>
        </w:rPr>
      </w:pPr>
      <w:r>
        <w:rPr>
          <w:rFonts w:ascii="宋体" w:cs="Arial" w:hAnsi="宋体" w:hint="eastAsia"/>
          <w:szCs w:val="21"/>
        </w:rPr>
        <w:t>基金托管人依法解散、被依法撤销或被依法宣告破产；</w:t>
      </w:r>
      <w:r>
        <w:rPr>
          <w:rFonts w:ascii="宋体" w:cs="Arial" w:hAnsi="宋体" w:hint="eastAsia"/>
          <w:szCs w:val="21"/>
        </w:rPr>
        <w:t xml:space="preserve"> </w:t>
      </w:r>
    </w:p>
    <w:p w14:paraId="273B1428" w14:textId="77777777" w:rsidR="005465E4" w:rsidRDefault="00EB5FF5">
      <w:pPr>
        <w:numPr>
          <w:ilvl w:val="0"/>
          <w:numId w:val="28"/>
        </w:numPr>
        <w:adjustRightInd w:val="0"/>
        <w:spacing w:line="360" w:lineRule="auto"/>
        <w:ind w:firstLine="420" w:firstLineChars="200" w:left="0"/>
        <w:rPr>
          <w:rFonts w:ascii="宋体" w:cs="Arial" w:hAnsi="宋体"/>
          <w:szCs w:val="21"/>
        </w:rPr>
      </w:pPr>
      <w:r>
        <w:rPr>
          <w:rFonts w:ascii="宋体" w:cs="Arial" w:hAnsi="宋体" w:hint="eastAsia"/>
          <w:szCs w:val="21"/>
        </w:rPr>
        <w:t>法律法规及中国证监会规定的和《基金合同》约定的其他情形。</w:t>
      </w:r>
    </w:p>
    <w:p w14:paraId="2081066B" w14:textId="77777777" w:rsidR="005465E4" w:rsidRDefault="00EB5FF5">
      <w:pPr>
        <w:numPr>
          <w:ilvl w:val="0"/>
          <w:numId w:val="27"/>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基金托管人的更换程序</w:t>
      </w:r>
    </w:p>
    <w:p w14:paraId="10E00014"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提名：新任基金托管人由基金管理人或由单独或合计持有</w:t>
      </w:r>
      <w:r>
        <w:rPr>
          <w:rFonts w:ascii="宋体" w:cs="Arial" w:hAnsi="宋体" w:hint="eastAsia"/>
          <w:szCs w:val="21"/>
        </w:rPr>
        <w:t>10%</w:t>
      </w:r>
      <w:r>
        <w:rPr>
          <w:rFonts w:ascii="宋体" w:cs="Arial" w:hAnsi="宋体" w:hint="eastAsia"/>
          <w:szCs w:val="21"/>
        </w:rPr>
        <w:t>以上（含</w:t>
      </w:r>
      <w:r>
        <w:rPr>
          <w:rFonts w:ascii="宋体" w:cs="Arial" w:hAnsi="宋体" w:hint="eastAsia"/>
          <w:szCs w:val="21"/>
        </w:rPr>
        <w:t>10%</w:t>
      </w:r>
      <w:r>
        <w:rPr>
          <w:rFonts w:ascii="宋体" w:cs="Arial" w:hAnsi="宋体" w:hint="eastAsia"/>
          <w:szCs w:val="21"/>
        </w:rPr>
        <w:t>）基金份额的基金份额持有人提名；</w:t>
      </w:r>
    </w:p>
    <w:p w14:paraId="7C6FC47F"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决议：基金份额持有人大会在基金托管人职责终止后</w:t>
      </w:r>
      <w:r>
        <w:rPr>
          <w:rFonts w:ascii="宋体" w:cs="Arial" w:hAnsi="宋体" w:hint="eastAsia"/>
          <w:szCs w:val="21"/>
        </w:rPr>
        <w:t>6</w:t>
      </w:r>
      <w:r>
        <w:rPr>
          <w:rFonts w:ascii="宋体" w:cs="Arial" w:hAnsi="宋体" w:hint="eastAsia"/>
          <w:szCs w:val="21"/>
        </w:rPr>
        <w:t>个月内对被提名的基金托管人形成决议，该决议需经参加大会的基金份额持有人所持表决权的三分之二以上（含三分之二）表决通过，决议自表决通过之日起生效；</w:t>
      </w:r>
    </w:p>
    <w:p w14:paraId="66D2360B"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临时基金托管人：新任基金托管人产生之前，由中</w:t>
      </w:r>
      <w:r>
        <w:rPr>
          <w:rFonts w:ascii="宋体" w:cs="Arial" w:hAnsi="宋体" w:hint="eastAsia"/>
          <w:szCs w:val="21"/>
        </w:rPr>
        <w:t>国证监会指定临时基金托管人；</w:t>
      </w:r>
    </w:p>
    <w:p w14:paraId="29703238"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备案：基金份额持有人大会更换基金托管人的决议须报中国证监会备案；</w:t>
      </w:r>
    </w:p>
    <w:p w14:paraId="5043493D"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公告：</w:t>
      </w:r>
      <w:r>
        <w:rPr>
          <w:rFonts w:ascii="宋体" w:hAnsi="宋体" w:hint="eastAsia"/>
          <w:color w:val="000000"/>
          <w:szCs w:val="21"/>
        </w:rPr>
        <w:t>基金托管人更换后，由基金管理人在更换基金托管人的基金份额持有人大会决议生效后</w:t>
      </w:r>
      <w:r>
        <w:rPr>
          <w:rFonts w:ascii="宋体" w:hAnsi="宋体" w:hint="eastAsia"/>
          <w:color w:val="000000"/>
          <w:szCs w:val="21"/>
        </w:rPr>
        <w:t>2</w:t>
      </w:r>
      <w:r>
        <w:rPr>
          <w:rFonts w:ascii="宋体" w:hAnsi="宋体" w:hint="eastAsia"/>
          <w:color w:val="000000"/>
          <w:szCs w:val="21"/>
        </w:rPr>
        <w:t>日内在规定媒介公告；</w:t>
      </w:r>
    </w:p>
    <w:p w14:paraId="405D7A28"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交接：基金托管人职责终止的，应当妥善保管基金财产和基金托管业务资料，及时办理基金财产和基金托管业务的移交手续，新任基金托管人或者临时基金托管人应当及时接收。新任基金托管人</w:t>
      </w:r>
      <w:r>
        <w:rPr>
          <w:rFonts w:hint="eastAsia"/>
          <w:bCs/>
          <w:szCs w:val="21"/>
        </w:rPr>
        <w:t>或临时基金托管人</w:t>
      </w:r>
      <w:r>
        <w:rPr>
          <w:rFonts w:ascii="宋体" w:cs="Arial" w:hAnsi="宋体" w:hint="eastAsia"/>
          <w:szCs w:val="21"/>
        </w:rPr>
        <w:t>应与基金管理人核对基金资产总值和净值；</w:t>
      </w:r>
    </w:p>
    <w:p w14:paraId="5D2437EE" w14:textId="77777777" w:rsidR="005465E4" w:rsidRDefault="00EB5FF5">
      <w:pPr>
        <w:numPr>
          <w:ilvl w:val="0"/>
          <w:numId w:val="29"/>
        </w:numPr>
        <w:adjustRightInd w:val="0"/>
        <w:spacing w:line="360" w:lineRule="auto"/>
        <w:ind w:firstLine="420" w:firstLineChars="200" w:left="0"/>
        <w:rPr>
          <w:rFonts w:ascii="宋体" w:cs="Arial" w:hAnsi="宋体"/>
          <w:szCs w:val="21"/>
        </w:rPr>
      </w:pPr>
      <w:r>
        <w:rPr>
          <w:rFonts w:ascii="宋体" w:cs="Arial" w:hAnsi="宋体" w:hint="eastAsia"/>
          <w:szCs w:val="21"/>
        </w:rPr>
        <w:t>审计：基金托管人职责终止的，应当按照法律法规规定聘请会计师事务所对基金财产进行审计，</w:t>
      </w:r>
      <w:r>
        <w:rPr>
          <w:rFonts w:ascii="宋体" w:cs="Arial" w:hAnsi="宋体" w:hint="eastAsia"/>
          <w:szCs w:val="21"/>
        </w:rPr>
        <w:t>并将审计结果予以公告，同时报中国证监会备案，审计费用由基金财产承担。</w:t>
      </w:r>
    </w:p>
    <w:p w14:paraId="518298C6"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（三）基金管理人与基金托管人同时更换</w:t>
      </w:r>
    </w:p>
    <w:p w14:paraId="1A2BD2AD" w14:textId="77777777" w:rsidR="005465E4" w:rsidRDefault="00EB5FF5">
      <w:pPr>
        <w:numPr>
          <w:ilvl w:val="0"/>
          <w:numId w:val="30"/>
        </w:numPr>
        <w:adjustRightInd w:val="0"/>
        <w:spacing w:line="360" w:lineRule="auto"/>
        <w:ind w:firstLine="420" w:firstLineChars="200" w:left="0"/>
        <w:rPr>
          <w:rStyle w:val="read"/>
          <w:rFonts w:ascii="宋体" w:hAnsi="宋体"/>
          <w:szCs w:val="21"/>
        </w:rPr>
      </w:pPr>
      <w:r>
        <w:rPr>
          <w:rStyle w:val="read"/>
          <w:rFonts w:ascii="宋体" w:hAnsi="宋体"/>
          <w:szCs w:val="21"/>
        </w:rPr>
        <w:t>提名：</w:t>
      </w:r>
      <w:r>
        <w:rPr>
          <w:rStyle w:val="read"/>
          <w:rFonts w:ascii="宋体" w:hAnsi="宋体" w:hint="eastAsia"/>
          <w:szCs w:val="21"/>
        </w:rPr>
        <w:t>如果基金管理人和基金托管人同时更换，由单独或合计持有基金总份额</w:t>
      </w:r>
      <w:r>
        <w:rPr>
          <w:rStyle w:val="read"/>
          <w:rFonts w:ascii="宋体" w:hAnsi="宋体" w:hint="eastAsia"/>
          <w:szCs w:val="21"/>
        </w:rPr>
        <w:t>10%</w:t>
      </w:r>
      <w:r>
        <w:rPr>
          <w:rStyle w:val="read"/>
          <w:rFonts w:ascii="宋体" w:hAnsi="宋体" w:hint="eastAsia"/>
          <w:szCs w:val="21"/>
        </w:rPr>
        <w:t>以上（含</w:t>
      </w:r>
      <w:r>
        <w:rPr>
          <w:rStyle w:val="read"/>
          <w:rFonts w:ascii="宋体" w:hAnsi="宋体" w:hint="eastAsia"/>
          <w:szCs w:val="21"/>
        </w:rPr>
        <w:t>10%</w:t>
      </w:r>
      <w:r>
        <w:rPr>
          <w:rStyle w:val="read"/>
          <w:rFonts w:ascii="宋体" w:hAnsi="宋体" w:hint="eastAsia"/>
          <w:szCs w:val="21"/>
        </w:rPr>
        <w:t>）的基金份额持有人提名新的基金管理人和基金托管人</w:t>
      </w:r>
      <w:r>
        <w:rPr>
          <w:rStyle w:val="read"/>
          <w:rFonts w:ascii="宋体" w:hAnsi="宋体"/>
          <w:szCs w:val="21"/>
        </w:rPr>
        <w:t>；</w:t>
      </w:r>
    </w:p>
    <w:p w14:paraId="1E3DFC29" w14:textId="77777777" w:rsidR="005465E4" w:rsidRDefault="00EB5FF5">
      <w:pPr>
        <w:numPr>
          <w:ilvl w:val="0"/>
          <w:numId w:val="30"/>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基金管理人和基金托管人的更换分别按上述程序进行</w:t>
      </w:r>
      <w:r>
        <w:rPr>
          <w:rStyle w:val="read"/>
          <w:rFonts w:ascii="宋体" w:hAnsi="宋体"/>
          <w:szCs w:val="21"/>
        </w:rPr>
        <w:t>；</w:t>
      </w:r>
    </w:p>
    <w:p w14:paraId="4AFF650B" w14:textId="77777777" w:rsidR="005465E4" w:rsidRDefault="00EB5FF5">
      <w:pPr>
        <w:numPr>
          <w:ilvl w:val="0"/>
          <w:numId w:val="30"/>
        </w:numPr>
        <w:adjustRightInd w:val="0"/>
        <w:spacing w:line="360" w:lineRule="auto"/>
        <w:ind w:firstLine="420" w:firstLineChars="200" w:left="0"/>
        <w:rPr>
          <w:rStyle w:val="read"/>
          <w:rFonts w:ascii="宋体" w:hAnsi="宋体"/>
          <w:szCs w:val="21"/>
        </w:rPr>
      </w:pPr>
      <w:r>
        <w:rPr>
          <w:rStyle w:val="read"/>
          <w:rFonts w:ascii="宋体" w:hAnsi="宋体"/>
          <w:szCs w:val="21"/>
        </w:rPr>
        <w:t>公告：</w:t>
      </w:r>
      <w:r>
        <w:rPr>
          <w:rStyle w:val="read"/>
          <w:rFonts w:ascii="宋体" w:hAnsi="宋体" w:hint="eastAsia"/>
          <w:szCs w:val="21"/>
        </w:rPr>
        <w:t>新任基金管理人和新任基金托管人应在更换基金管理人和基金托管人的基金份额持有人大会决议生效后</w:t>
      </w:r>
      <w:r>
        <w:rPr>
          <w:rStyle w:val="read"/>
          <w:rFonts w:ascii="宋体" w:hAnsi="宋体" w:hint="eastAsia"/>
          <w:szCs w:val="21"/>
        </w:rPr>
        <w:t>2</w:t>
      </w:r>
      <w:r>
        <w:rPr>
          <w:rStyle w:val="read"/>
          <w:rFonts w:ascii="宋体" w:hAnsi="宋体" w:hint="eastAsia"/>
          <w:szCs w:val="21"/>
        </w:rPr>
        <w:t>日内在规定媒介上联合公告</w:t>
      </w:r>
      <w:r>
        <w:rPr>
          <w:rStyle w:val="read"/>
          <w:rFonts w:ascii="宋体" w:hAnsi="宋体"/>
          <w:szCs w:val="21"/>
        </w:rPr>
        <w:t>。</w:t>
      </w:r>
    </w:p>
    <w:p w14:paraId="42D44105" w14:textId="77777777" w:rsidR="005465E4" w:rsidRDefault="00EB5FF5">
      <w:pPr>
        <w:numPr>
          <w:ilvl w:val="0"/>
          <w:numId w:val="31"/>
        </w:numPr>
        <w:spacing w:line="360" w:lineRule="auto"/>
        <w:ind w:firstLine="420" w:firstLineChars="200"/>
        <w:rPr>
          <w:rFonts w:cs="Arial"/>
          <w:szCs w:val="21"/>
        </w:rPr>
      </w:pPr>
      <w:bookmarkStart w:id="229" w:name="_Hlk66699847"/>
      <w:r>
        <w:rPr>
          <w:rFonts w:ascii="宋体" w:cs="Arial" w:hAnsi="宋体" w:hint="eastAsia"/>
          <w:szCs w:val="21"/>
        </w:rPr>
        <w:t>新基金管理人接</w:t>
      </w:r>
      <w:r>
        <w:rPr>
          <w:rFonts w:cs="Arial" w:hint="eastAsia"/>
          <w:szCs w:val="21"/>
        </w:rPr>
        <w:t>受</w:t>
      </w:r>
      <w:r>
        <w:rPr>
          <w:rFonts w:ascii="宋体" w:cs="Arial" w:hAnsi="宋体" w:hint="eastAsia"/>
          <w:szCs w:val="21"/>
        </w:rPr>
        <w:t>基金管理或新基金托管人接</w:t>
      </w:r>
      <w:r>
        <w:rPr>
          <w:rFonts w:cs="Arial" w:hint="eastAsia"/>
          <w:szCs w:val="21"/>
        </w:rPr>
        <w:t>受</w:t>
      </w:r>
      <w:r>
        <w:rPr>
          <w:rFonts w:ascii="宋体" w:cs="Arial" w:hAnsi="宋体" w:hint="eastAsia"/>
          <w:szCs w:val="21"/>
        </w:rPr>
        <w:t>基金财产和基金托管业务前，原基金管理人或基金托</w:t>
      </w:r>
      <w:r>
        <w:rPr>
          <w:rFonts w:ascii="宋体" w:cs="Arial" w:hAnsi="宋体" w:hint="eastAsia"/>
          <w:szCs w:val="21"/>
        </w:rPr>
        <w:t>管人应</w:t>
      </w:r>
      <w:r>
        <w:rPr>
          <w:rFonts w:cs="Arial" w:hint="eastAsia"/>
          <w:szCs w:val="21"/>
        </w:rPr>
        <w:t>依据法律法规和基金合同的规定</w:t>
      </w:r>
      <w:r>
        <w:rPr>
          <w:rFonts w:ascii="宋体" w:cs="Arial" w:hAnsi="宋体" w:hint="eastAsia"/>
          <w:szCs w:val="21"/>
        </w:rPr>
        <w:t>继续履行相关职责，并保证不对基金份额持有人的利益造成损害。</w:t>
      </w:r>
      <w:r>
        <w:rPr>
          <w:rFonts w:cs="Arial" w:hint="eastAsia"/>
          <w:szCs w:val="21"/>
        </w:rPr>
        <w:t>原基金管理人或基金托管人在继续履行相关职责期间，仍有权按照本基金合同的规定收取基金管理费或基金托管费。</w:t>
      </w:r>
    </w:p>
    <w:p w14:paraId="63CF377A" w14:textId="77777777" w:rsidR="005465E4" w:rsidRDefault="00EB5FF5">
      <w:pPr>
        <w:numPr>
          <w:ilvl w:val="0"/>
          <w:numId w:val="31"/>
        </w:numPr>
        <w:spacing w:line="360" w:lineRule="auto"/>
        <w:ind w:firstLine="420" w:firstLineChars="200"/>
        <w:rPr>
          <w:rFonts w:cs="Arial"/>
          <w:szCs w:val="21"/>
        </w:rPr>
      </w:pPr>
      <w:r>
        <w:rPr>
          <w:rFonts w:hint="eastAsia"/>
          <w:bCs/>
          <w:szCs w:val="21"/>
        </w:rPr>
        <w:t>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bookmarkEnd w:id="229"/>
    <w:p w14:paraId="1F903B48"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230" w:name="_Toc295833703"/>
      <w:bookmarkStart w:id="231" w:name="_Toc295832972"/>
      <w:bookmarkStart w:id="232" w:name="_Toc295833032"/>
      <w:bookmarkStart w:id="233" w:name="_Toc124325899"/>
      <w:bookmarkStart w:id="234" w:name="_Toc270669866"/>
      <w:bookmarkStart w:id="235" w:name="_Toc66879693"/>
      <w:bookmarkEnd w:id="230"/>
      <w:bookmarkEnd w:id="231"/>
      <w:bookmarkEnd w:id="232"/>
      <w:r>
        <w:rPr>
          <w:rFonts w:ascii="宋体" w:hAnsi="宋体" w:hint="eastAsia"/>
          <w:sz w:val="21"/>
          <w:szCs w:val="21"/>
        </w:rPr>
        <w:t>十五、禁止行为</w:t>
      </w:r>
      <w:bookmarkEnd w:id="233"/>
      <w:bookmarkEnd w:id="234"/>
      <w:bookmarkEnd w:id="235"/>
    </w:p>
    <w:p w14:paraId="7B3F0B93" w14:textId="77777777" w:rsidR="005465E4" w:rsidRDefault="00EB5FF5">
      <w:pPr>
        <w:spacing w:line="360" w:lineRule="auto"/>
        <w:ind w:firstLine="420" w:firstLineChars="200"/>
        <w:rPr>
          <w:rFonts w:ascii="宋体" w:hAnsi="宋体"/>
          <w:szCs w:val="21"/>
        </w:rPr>
      </w:pPr>
      <w:r>
        <w:rPr>
          <w:rFonts w:ascii="宋体" w:hAnsi="宋体" w:hint="eastAsia"/>
          <w:szCs w:val="21"/>
        </w:rPr>
        <w:t>本协议当事人禁止从事的行为，包括但不限于：</w:t>
      </w:r>
    </w:p>
    <w:p w14:paraId="3CABFF1D" w14:textId="77777777" w:rsidR="005465E4" w:rsidRDefault="00EB5FF5">
      <w:pPr>
        <w:spacing w:line="360" w:lineRule="auto"/>
        <w:ind w:firstLine="420" w:firstLineChars="200"/>
        <w:rPr>
          <w:rFonts w:ascii="宋体" w:hAnsi="宋体"/>
          <w:szCs w:val="21"/>
        </w:rPr>
      </w:pPr>
      <w:r>
        <w:rPr>
          <w:rFonts w:ascii="宋体" w:hAnsi="宋体" w:hint="eastAsia"/>
          <w:szCs w:val="21"/>
        </w:rPr>
        <w:t>（一）基金管理人、基金托管人将其固有财产或者他人财产混同于基金财产从事证券投资。</w:t>
      </w:r>
    </w:p>
    <w:p w14:paraId="2D66C6FD" w14:textId="77777777" w:rsidR="005465E4" w:rsidRDefault="00EB5FF5">
      <w:pPr>
        <w:spacing w:line="360" w:lineRule="auto"/>
        <w:ind w:firstLine="420" w:firstLineChars="200"/>
        <w:rPr>
          <w:rFonts w:ascii="宋体" w:hAnsi="宋体"/>
          <w:szCs w:val="21"/>
        </w:rPr>
      </w:pPr>
      <w:r>
        <w:rPr>
          <w:rFonts w:ascii="宋体" w:hAnsi="宋体" w:hint="eastAsia"/>
          <w:szCs w:val="21"/>
        </w:rPr>
        <w:t>（二）基金管理人不公平地对待其管理的不同基金财产，基金托管人不公平地对待其托管的不同基金财产。</w:t>
      </w:r>
    </w:p>
    <w:p w14:paraId="5AECAE60" w14:textId="77777777" w:rsidR="005465E4" w:rsidRDefault="00EB5FF5">
      <w:pPr>
        <w:spacing w:line="360" w:lineRule="auto"/>
        <w:ind w:firstLine="420" w:firstLineChars="200"/>
        <w:rPr>
          <w:rFonts w:ascii="宋体" w:hAnsi="宋体"/>
          <w:szCs w:val="21"/>
        </w:rPr>
      </w:pPr>
      <w:r>
        <w:rPr>
          <w:rFonts w:ascii="宋体" w:hAnsi="宋体" w:hint="eastAsia"/>
          <w:szCs w:val="21"/>
        </w:rPr>
        <w:t>（三）基金管理人、基金托管人利用基金财产为基金份额持有人以外的第三人牟取利益。</w:t>
      </w:r>
    </w:p>
    <w:p w14:paraId="44EA8A3E" w14:textId="77777777" w:rsidR="005465E4" w:rsidRDefault="00EB5FF5">
      <w:pPr>
        <w:spacing w:line="360" w:lineRule="auto"/>
        <w:ind w:firstLine="420" w:firstLineChars="200"/>
        <w:rPr>
          <w:rFonts w:ascii="宋体" w:hAnsi="宋体"/>
          <w:szCs w:val="21"/>
        </w:rPr>
      </w:pPr>
      <w:r>
        <w:rPr>
          <w:rFonts w:ascii="宋体" w:hAnsi="宋体" w:hint="eastAsia"/>
          <w:szCs w:val="21"/>
        </w:rPr>
        <w:t>（四）基金管理人、基金托管人向基金份额持有人违规承诺收益或者承担损失。</w:t>
      </w:r>
    </w:p>
    <w:p w14:paraId="74C63F8B"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（五）基金管理人、基金托管人对他人泄漏基金运作和管理过程中任何尚未按法律法规规定的方式公开披露的信息。</w:t>
      </w:r>
    </w:p>
    <w:p w14:paraId="74809B39" w14:textId="77777777" w:rsidR="005465E4" w:rsidRDefault="00EB5FF5">
      <w:pPr>
        <w:adjustRightInd w:val="0"/>
        <w:spacing w:line="360" w:lineRule="auto"/>
        <w:ind w:firstLine="420" w:firstLineChars="200"/>
        <w:rPr>
          <w:rFonts w:ascii="宋体" w:cs="Arial" w:hAnsi="宋体"/>
          <w:szCs w:val="21"/>
        </w:rPr>
      </w:pPr>
      <w:r>
        <w:rPr>
          <w:rFonts w:ascii="宋体" w:cs="Arial" w:hAnsi="宋体"/>
          <w:szCs w:val="21"/>
        </w:rPr>
        <w:t>（六）基金管理人在没有充足资金的情</w:t>
      </w:r>
      <w:r>
        <w:rPr>
          <w:rFonts w:ascii="宋体" w:cs="Arial" w:hAnsi="宋体"/>
          <w:szCs w:val="21"/>
        </w:rPr>
        <w:t>况下向基金托管人发出投资指令和赎回、分红资金的划拨指令，或违规向基金托管人发出指令。</w:t>
      </w:r>
    </w:p>
    <w:p w14:paraId="04CFD0E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（七）基金管理人、基金托管人在行政上、财务上不独立</w:t>
      </w:r>
      <w:r>
        <w:rPr>
          <w:rFonts w:ascii="宋体" w:cs="Arial" w:hAnsi="宋体" w:hint="eastAsia"/>
          <w:szCs w:val="21"/>
        </w:rPr>
        <w:t xml:space="preserve">, </w:t>
      </w:r>
      <w:r>
        <w:rPr>
          <w:rFonts w:ascii="宋体" w:cs="Arial" w:hAnsi="宋体" w:hint="eastAsia"/>
          <w:szCs w:val="21"/>
        </w:rPr>
        <w:t>其高级管理人员和其他从业人员相互兼职。</w:t>
      </w:r>
    </w:p>
    <w:p w14:paraId="338EA0E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（八）基金托管人私自动用或处分基金财产，根据基金管理人的合法指令、基金合同或托管协议的规定进行处分的除外。</w:t>
      </w:r>
    </w:p>
    <w:p w14:paraId="01BFE6CF"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（九）基金财产用于下列投资或者活动：</w:t>
      </w:r>
    </w:p>
    <w:p w14:paraId="3A0656B6" w14:textId="77777777" w:rsidR="005465E4" w:rsidRDefault="00EB5FF5">
      <w:pPr>
        <w:numPr>
          <w:ilvl w:val="0"/>
          <w:numId w:val="3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承销证券；</w:t>
      </w:r>
    </w:p>
    <w:p w14:paraId="203950D9" w14:textId="77777777" w:rsidR="005465E4" w:rsidRDefault="00EB5FF5">
      <w:pPr>
        <w:numPr>
          <w:ilvl w:val="0"/>
          <w:numId w:val="3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违反规定向他人贷款或者提供担保；</w:t>
      </w:r>
    </w:p>
    <w:p w14:paraId="51DF5F4F" w14:textId="77777777" w:rsidR="005465E4" w:rsidRDefault="00EB5FF5">
      <w:pPr>
        <w:numPr>
          <w:ilvl w:val="0"/>
          <w:numId w:val="3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从事承担无限责任的投资；</w:t>
      </w:r>
    </w:p>
    <w:p w14:paraId="015848AC" w14:textId="77777777" w:rsidR="005465E4" w:rsidRDefault="00EB5FF5">
      <w:pPr>
        <w:numPr>
          <w:ilvl w:val="0"/>
          <w:numId w:val="3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向其基金管理人、基金托管人出资；</w:t>
      </w:r>
    </w:p>
    <w:p w14:paraId="32E8A256" w14:textId="77777777" w:rsidR="005465E4" w:rsidRDefault="00EB5FF5">
      <w:pPr>
        <w:numPr>
          <w:ilvl w:val="0"/>
          <w:numId w:val="3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从事内幕交易、操纵证券交易价格及其他不正当的证券交易活动；</w:t>
      </w:r>
    </w:p>
    <w:p w14:paraId="21A88B65" w14:textId="77777777" w:rsidR="005465E4" w:rsidRDefault="00EB5FF5">
      <w:pPr>
        <w:numPr>
          <w:ilvl w:val="0"/>
          <w:numId w:val="32"/>
        </w:numPr>
        <w:adjustRightInd w:val="0"/>
        <w:spacing w:line="360" w:lineRule="auto"/>
        <w:ind w:firstLine="420" w:firstLineChars="200" w:left="0"/>
        <w:rPr>
          <w:rStyle w:val="read"/>
          <w:rFonts w:ascii="宋体" w:hAnsi="宋体"/>
          <w:szCs w:val="21"/>
        </w:rPr>
      </w:pPr>
      <w:r>
        <w:rPr>
          <w:rStyle w:val="read"/>
          <w:rFonts w:ascii="宋体" w:hAnsi="宋体" w:hint="eastAsia"/>
          <w:szCs w:val="21"/>
        </w:rPr>
        <w:t>法律、行政法规和中国</w:t>
      </w:r>
      <w:r>
        <w:rPr>
          <w:rStyle w:val="read"/>
          <w:rFonts w:ascii="宋体" w:hAnsi="宋体" w:hint="eastAsia"/>
          <w:szCs w:val="21"/>
        </w:rPr>
        <w:t>证监会规定禁止的其他活动；</w:t>
      </w:r>
    </w:p>
    <w:p w14:paraId="59F871FA" w14:textId="77777777" w:rsidR="005465E4" w:rsidRDefault="00EB5FF5">
      <w:pPr>
        <w:adjustRightInd w:val="0"/>
        <w:spacing w:line="360" w:lineRule="auto"/>
        <w:ind w:firstLine="420" w:firstLineChars="200"/>
        <w:rPr>
          <w:rStyle w:val="read"/>
          <w:rFonts w:ascii="宋体" w:hAnsi="宋体"/>
          <w:szCs w:val="21"/>
        </w:rPr>
      </w:pPr>
      <w:r>
        <w:rPr>
          <w:rStyle w:val="read"/>
          <w:rFonts w:ascii="宋体" w:hAnsi="宋体" w:hint="eastAsia"/>
          <w:szCs w:val="21"/>
        </w:rPr>
        <w:t>如</w:t>
      </w:r>
      <w:r>
        <w:rPr>
          <w:rStyle w:val="read"/>
          <w:rFonts w:ascii="宋体" w:hAnsi="宋体"/>
          <w:szCs w:val="21"/>
        </w:rPr>
        <w:t>法律</w:t>
      </w:r>
      <w:r>
        <w:rPr>
          <w:rStyle w:val="read"/>
          <w:rFonts w:ascii="宋体" w:hAnsi="宋体" w:hint="eastAsia"/>
          <w:szCs w:val="21"/>
        </w:rPr>
        <w:t>、行政</w:t>
      </w:r>
      <w:r>
        <w:rPr>
          <w:rStyle w:val="read"/>
          <w:rFonts w:ascii="宋体" w:hAnsi="宋体"/>
          <w:szCs w:val="21"/>
        </w:rPr>
        <w:t>法规或</w:t>
      </w:r>
      <w:r>
        <w:rPr>
          <w:rStyle w:val="read"/>
          <w:rFonts w:ascii="宋体" w:hAnsi="宋体" w:hint="eastAsia"/>
          <w:szCs w:val="21"/>
        </w:rPr>
        <w:t>监管部门取消或变更上述禁止性规定</w:t>
      </w:r>
      <w:r>
        <w:rPr>
          <w:rStyle w:val="read"/>
          <w:rFonts w:ascii="宋体" w:hAnsi="宋体"/>
          <w:szCs w:val="21"/>
        </w:rPr>
        <w:t>，</w:t>
      </w:r>
      <w:r>
        <w:rPr>
          <w:rStyle w:val="read"/>
          <w:rFonts w:ascii="宋体" w:hAnsi="宋体" w:hint="eastAsia"/>
          <w:szCs w:val="21"/>
        </w:rPr>
        <w:t>基金管理人在履行适当程序后，本基金可不受上述规定的限制或以变更后的规定为准。</w:t>
      </w:r>
    </w:p>
    <w:p w14:paraId="2B396292"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（十）法律法规和基金合同禁止的其他行为，以及依照法律、行政法规有关规定，由</w:t>
      </w:r>
      <w:r>
        <w:rPr>
          <w:rStyle w:val="read"/>
          <w:rFonts w:ascii="宋体" w:hAnsi="宋体" w:hint="eastAsia"/>
          <w:szCs w:val="21"/>
        </w:rPr>
        <w:t>中国证监会</w:t>
      </w:r>
      <w:r>
        <w:rPr>
          <w:rFonts w:ascii="宋体" w:cs="Arial" w:hAnsi="宋体" w:hint="eastAsia"/>
          <w:szCs w:val="21"/>
        </w:rPr>
        <w:t>规定禁止基金管理人、基金托管人从事的其他行为。</w:t>
      </w:r>
    </w:p>
    <w:p w14:paraId="538735A2" w14:textId="77777777" w:rsidR="005465E4" w:rsidRDefault="005465E4">
      <w:pPr>
        <w:adjustRightInd w:val="0"/>
        <w:spacing w:line="360" w:lineRule="auto"/>
        <w:ind w:firstLine="420" w:firstLineChars="200"/>
        <w:rPr>
          <w:rFonts w:ascii="宋体" w:cs="Arial" w:hAnsi="宋体"/>
          <w:szCs w:val="21"/>
        </w:rPr>
      </w:pPr>
    </w:p>
    <w:p w14:paraId="05216358"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hAnsi="宋体"/>
          <w:sz w:val="21"/>
          <w:szCs w:val="21"/>
        </w:rPr>
        <w:br w:type="page"/>
      </w:r>
      <w:bookmarkStart w:id="236" w:name="_Toc295833034"/>
      <w:bookmarkStart w:id="237" w:name="_Toc295832974"/>
      <w:bookmarkStart w:id="238" w:name="_Toc295833705"/>
      <w:bookmarkStart w:id="239" w:name="_Toc124325900"/>
      <w:bookmarkStart w:id="240" w:name="_Toc66879694"/>
      <w:bookmarkStart w:id="241" w:name="_Toc270669867"/>
      <w:bookmarkEnd w:id="236"/>
      <w:bookmarkEnd w:id="237"/>
      <w:bookmarkEnd w:id="238"/>
      <w:r>
        <w:rPr>
          <w:rFonts w:ascii="宋体" w:hAnsi="宋体" w:hint="eastAsia"/>
          <w:sz w:val="21"/>
          <w:szCs w:val="21"/>
        </w:rPr>
        <w:t>十六、托管协议的变更、终止与基金财产的清算</w:t>
      </w:r>
      <w:bookmarkEnd w:id="239"/>
      <w:bookmarkEnd w:id="240"/>
      <w:bookmarkEnd w:id="241"/>
    </w:p>
    <w:p w14:paraId="6CECD220"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（一）本托管协议的变更程序</w:t>
      </w:r>
    </w:p>
    <w:p w14:paraId="54460771" w14:textId="77777777" w:rsidR="005465E4" w:rsidRDefault="00EB5FF5">
      <w:pPr>
        <w:adjustRightInd w:val="0"/>
        <w:spacing w:line="360" w:lineRule="auto"/>
        <w:ind w:firstLine="420" w:firstLineChars="200"/>
        <w:rPr>
          <w:rFonts w:ascii="宋体" w:hAnsi="宋体"/>
          <w:szCs w:val="21"/>
        </w:rPr>
      </w:pPr>
      <w:r>
        <w:rPr>
          <w:rFonts w:ascii="宋体" w:cs="Arial" w:hAnsi="宋体" w:hint="eastAsia"/>
          <w:szCs w:val="21"/>
        </w:rPr>
        <w:t>本托管协议双方当事人经协商一致，可以对本托管协议进行修改。修改后的新托管协议，其内容不得与基金合同的规定有任何冲突。基金托管协议的变更报中国证监会备案。</w:t>
      </w:r>
    </w:p>
    <w:p w14:paraId="1D98509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（二）基金托管协议终止出现的情形</w:t>
      </w:r>
    </w:p>
    <w:p w14:paraId="7758A930" w14:textId="77777777" w:rsidR="005465E4" w:rsidRDefault="00EB5FF5">
      <w:pPr>
        <w:numPr>
          <w:ilvl w:val="0"/>
          <w:numId w:val="33"/>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基金合同终止；</w:t>
      </w:r>
    </w:p>
    <w:p w14:paraId="1F5F8BB4" w14:textId="77777777" w:rsidR="005465E4" w:rsidRDefault="00EB5FF5">
      <w:pPr>
        <w:numPr>
          <w:ilvl w:val="0"/>
          <w:numId w:val="33"/>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基金托管人解散、依法被撤销、破产或由其他基金托管人接管基金资产；</w:t>
      </w:r>
    </w:p>
    <w:p w14:paraId="2F7F3635" w14:textId="77777777" w:rsidR="005465E4" w:rsidRDefault="00EB5FF5">
      <w:pPr>
        <w:numPr>
          <w:ilvl w:val="0"/>
          <w:numId w:val="33"/>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基金管理人解散、依法被撤销、破产或由其他基金管理人接管基金管理权；</w:t>
      </w:r>
    </w:p>
    <w:p w14:paraId="3E4F6379" w14:textId="77777777" w:rsidR="005465E4" w:rsidRDefault="00EB5FF5">
      <w:pPr>
        <w:numPr>
          <w:ilvl w:val="0"/>
          <w:numId w:val="33"/>
        </w:numPr>
        <w:adjustRightInd w:val="0"/>
        <w:spacing w:line="360" w:lineRule="auto"/>
        <w:ind w:firstLine="420" w:firstLineChars="200" w:left="0"/>
        <w:rPr>
          <w:rStyle w:val="read"/>
          <w:rFonts w:ascii="宋体" w:hAnsi="宋体"/>
          <w:szCs w:val="21"/>
        </w:rPr>
      </w:pPr>
      <w:r>
        <w:rPr>
          <w:rStyle w:val="read"/>
          <w:rFonts w:ascii="宋体" w:hAnsi="宋体" w:hint="eastAsia"/>
          <w:szCs w:val="21"/>
        </w:rPr>
        <w:t>发生法律法规、中国证监会或基金合同规定的终止事项。</w:t>
      </w:r>
    </w:p>
    <w:p w14:paraId="06A7F918" w14:textId="77777777" w:rsidR="005465E4" w:rsidRDefault="00EB5FF5">
      <w:pPr>
        <w:adjustRightInd w:val="0"/>
        <w:spacing w:line="360" w:lineRule="auto"/>
        <w:ind w:firstLine="420" w:firstLineChars="200"/>
        <w:rPr>
          <w:rFonts w:ascii="宋体" w:cs="Arial" w:hAnsi="宋体"/>
          <w:szCs w:val="21"/>
        </w:rPr>
      </w:pPr>
      <w:bookmarkStart w:id="242" w:name="_Hlk57299137"/>
      <w:r>
        <w:rPr>
          <w:rFonts w:ascii="宋体" w:cs="Arial" w:hAnsi="宋体" w:hint="eastAsia"/>
          <w:szCs w:val="21"/>
        </w:rPr>
        <w:t>（三）基金财产的清算</w:t>
      </w:r>
    </w:p>
    <w:p w14:paraId="750BC2EA" w14:textId="77777777" w:rsidR="005465E4" w:rsidRDefault="00EB5FF5">
      <w:pPr>
        <w:numPr>
          <w:ilvl w:val="0"/>
          <w:numId w:val="34"/>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基金财产清算小组</w:t>
      </w:r>
    </w:p>
    <w:p w14:paraId="5F4189DC" w14:textId="77777777" w:rsidR="005465E4" w:rsidRDefault="00EB5FF5">
      <w:pPr>
        <w:numPr>
          <w:ilvl w:val="0"/>
          <w:numId w:val="35"/>
        </w:numPr>
        <w:autoSpaceDE w:val="0"/>
        <w:autoSpaceDN w:val="0"/>
        <w:adjustRightInd w:val="0"/>
        <w:spacing w:line="360" w:lineRule="auto"/>
        <w:ind w:firstLine="420" w:firstLineChars="200" w:left="0"/>
        <w:jc w:val="left"/>
        <w:rPr>
          <w:rFonts w:ascii="宋体" w:hAnsi="宋体"/>
          <w:szCs w:val="21"/>
        </w:rPr>
      </w:pPr>
      <w:r>
        <w:rPr>
          <w:bCs/>
          <w:szCs w:val="21"/>
        </w:rPr>
        <w:t>自出现</w:t>
      </w:r>
      <w:r>
        <w:rPr>
          <w:rFonts w:hint="eastAsia"/>
          <w:bCs/>
          <w:szCs w:val="21"/>
        </w:rPr>
        <w:t>《</w:t>
      </w:r>
      <w:r>
        <w:rPr>
          <w:bCs/>
          <w:szCs w:val="21"/>
        </w:rPr>
        <w:t>基金合同</w:t>
      </w:r>
      <w:r>
        <w:rPr>
          <w:rFonts w:hint="eastAsia"/>
          <w:bCs/>
          <w:szCs w:val="21"/>
        </w:rPr>
        <w:t>》</w:t>
      </w:r>
      <w:r>
        <w:rPr>
          <w:bCs/>
          <w:szCs w:val="21"/>
        </w:rPr>
        <w:t>终止事由之日起</w:t>
      </w:r>
      <w:r>
        <w:rPr>
          <w:bCs/>
          <w:szCs w:val="21"/>
        </w:rPr>
        <w:t>30</w:t>
      </w:r>
      <w:r>
        <w:rPr>
          <w:bCs/>
          <w:szCs w:val="21"/>
        </w:rPr>
        <w:t>个工作日</w:t>
      </w:r>
      <w:r>
        <w:rPr>
          <w:rFonts w:hint="eastAsia"/>
          <w:bCs/>
          <w:szCs w:val="21"/>
        </w:rPr>
        <w:t>内</w:t>
      </w:r>
      <w:r>
        <w:rPr>
          <w:szCs w:val="21"/>
        </w:rPr>
        <w:t>成立清算</w:t>
      </w:r>
      <w:r>
        <w:rPr>
          <w:bCs/>
          <w:szCs w:val="21"/>
        </w:rPr>
        <w:t>小组</w:t>
      </w:r>
      <w:r>
        <w:rPr>
          <w:rFonts w:ascii="宋体" w:hAnsi="宋体" w:hint="eastAsia"/>
          <w:szCs w:val="21"/>
        </w:rPr>
        <w:t>，</w:t>
      </w:r>
      <w:r>
        <w:rPr>
          <w:bCs/>
          <w:szCs w:val="21"/>
        </w:rPr>
        <w:t>基金管理人组织</w:t>
      </w:r>
      <w:r>
        <w:rPr>
          <w:szCs w:val="21"/>
        </w:rPr>
        <w:t>基金财产</w:t>
      </w:r>
      <w:r>
        <w:rPr>
          <w:szCs w:val="21"/>
        </w:rPr>
        <w:t>清算</w:t>
      </w:r>
      <w:r>
        <w:rPr>
          <w:bCs/>
          <w:szCs w:val="21"/>
        </w:rPr>
        <w:t>小组并</w:t>
      </w:r>
      <w:r>
        <w:rPr>
          <w:szCs w:val="21"/>
        </w:rPr>
        <w:t>在中国证监会的监督下进行基金清算</w:t>
      </w:r>
      <w:r>
        <w:rPr>
          <w:rFonts w:ascii="宋体" w:hAnsi="宋体" w:hint="eastAsia"/>
          <w:szCs w:val="21"/>
        </w:rPr>
        <w:t>。</w:t>
      </w:r>
    </w:p>
    <w:p w14:paraId="7052AAB0" w14:textId="77777777" w:rsidR="005465E4" w:rsidRDefault="00EB5FF5">
      <w:pPr>
        <w:numPr>
          <w:ilvl w:val="0"/>
          <w:numId w:val="35"/>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基金财产清算小组组成：基金财产清算小组成员由基金管理人、基金托管人、具有从事</w:t>
      </w:r>
      <w:r>
        <w:rPr>
          <w:rFonts w:hint="eastAsia"/>
          <w:szCs w:val="21"/>
        </w:rPr>
        <w:t>证券相</w:t>
      </w:r>
      <w:r>
        <w:rPr>
          <w:rFonts w:ascii="宋体" w:hAnsi="宋体" w:hint="eastAsia"/>
          <w:szCs w:val="21"/>
        </w:rPr>
        <w:t>关业务资格的注册会计师、律师以及中国证监会指定的人员组成。基金财产清算小组可以聘用必要的工作人员。</w:t>
      </w:r>
    </w:p>
    <w:p w14:paraId="2E6B261D" w14:textId="77777777" w:rsidR="005465E4" w:rsidRDefault="00EB5FF5">
      <w:pPr>
        <w:numPr>
          <w:ilvl w:val="0"/>
          <w:numId w:val="35"/>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基金财产清算小组职责：基金财产清算小组负责基金财产的保管、清理、估价、变现和分配。基金财产清算小组可以依法进行必要的民事活动。</w:t>
      </w:r>
    </w:p>
    <w:p w14:paraId="5FA1E9E5" w14:textId="77777777" w:rsidR="005465E4" w:rsidRDefault="00EB5FF5">
      <w:pPr>
        <w:numPr>
          <w:ilvl w:val="0"/>
          <w:numId w:val="34"/>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基金财产清算程序</w:t>
      </w:r>
    </w:p>
    <w:p w14:paraId="6196DB58" w14:textId="77777777" w:rsidR="005465E4" w:rsidRDefault="00EB5FF5">
      <w:pPr>
        <w:autoSpaceDE w:val="0"/>
        <w:autoSpaceDN w:val="0"/>
        <w:adjustRightInd w:val="0"/>
        <w:spacing w:line="360" w:lineRule="auto"/>
        <w:ind w:firstLine="420" w:firstLineChars="200"/>
        <w:jc w:val="left"/>
        <w:rPr>
          <w:rFonts w:ascii="宋体" w:hAnsi="宋体"/>
          <w:szCs w:val="21"/>
        </w:rPr>
      </w:pPr>
      <w:r>
        <w:rPr>
          <w:rFonts w:ascii="宋体" w:hAnsi="宋体" w:hint="eastAsia"/>
          <w:szCs w:val="21"/>
        </w:rPr>
        <w:t>《基金合同》终止，应当按法律法规和基金合同的有关规定对基金财产进行清算。基金财产清算程序主要包括：</w:t>
      </w:r>
    </w:p>
    <w:p w14:paraId="7369A10C" w14:textId="77777777" w:rsidR="005465E4" w:rsidRDefault="00EB5FF5">
      <w:pPr>
        <w:numPr>
          <w:ilvl w:val="0"/>
          <w:numId w:val="36"/>
        </w:numPr>
        <w:spacing w:line="360" w:lineRule="auto"/>
        <w:ind w:firstLine="420" w:firstLineChars="200" w:left="0"/>
        <w:rPr>
          <w:rFonts w:ascii="宋体" w:hAnsi="宋体"/>
          <w:szCs w:val="21"/>
        </w:rPr>
      </w:pPr>
      <w:r>
        <w:rPr>
          <w:rFonts w:hint="eastAsia"/>
          <w:bCs/>
          <w:szCs w:val="21"/>
        </w:rPr>
        <w:t>《基金合同》终止情形出现时，由基金财产清算小组统一接管基金</w:t>
      </w:r>
      <w:r>
        <w:rPr>
          <w:rFonts w:ascii="宋体" w:hAnsi="宋体" w:hint="eastAsia"/>
          <w:szCs w:val="21"/>
        </w:rPr>
        <w:t>；</w:t>
      </w:r>
    </w:p>
    <w:p w14:paraId="365440A5" w14:textId="77777777" w:rsidR="005465E4" w:rsidRDefault="00EB5FF5">
      <w:pPr>
        <w:numPr>
          <w:ilvl w:val="0"/>
          <w:numId w:val="36"/>
        </w:numPr>
        <w:spacing w:line="360" w:lineRule="auto"/>
        <w:ind w:firstLine="420" w:firstLineChars="200" w:left="0"/>
        <w:rPr>
          <w:rFonts w:ascii="宋体" w:hAnsi="宋体"/>
          <w:szCs w:val="21"/>
        </w:rPr>
      </w:pPr>
      <w:r>
        <w:rPr>
          <w:rFonts w:hint="eastAsia"/>
          <w:bCs/>
          <w:szCs w:val="21"/>
        </w:rPr>
        <w:t>对基金财产和债权债务进行清理和确认</w:t>
      </w:r>
      <w:r>
        <w:rPr>
          <w:rFonts w:ascii="宋体" w:hAnsi="宋体" w:hint="eastAsia"/>
          <w:szCs w:val="21"/>
        </w:rPr>
        <w:t>；</w:t>
      </w:r>
    </w:p>
    <w:p w14:paraId="5940DA5F" w14:textId="77777777" w:rsidR="005465E4" w:rsidRDefault="00EB5FF5">
      <w:pPr>
        <w:numPr>
          <w:ilvl w:val="0"/>
          <w:numId w:val="36"/>
        </w:numPr>
        <w:spacing w:line="360" w:lineRule="auto"/>
        <w:ind w:firstLine="420" w:firstLineChars="200" w:left="0"/>
        <w:rPr>
          <w:rFonts w:ascii="宋体" w:hAnsi="宋体"/>
          <w:szCs w:val="21"/>
        </w:rPr>
      </w:pPr>
      <w:r>
        <w:rPr>
          <w:rFonts w:hint="eastAsia"/>
          <w:bCs/>
          <w:szCs w:val="21"/>
        </w:rPr>
        <w:t>对基金财产进行估值和变现</w:t>
      </w:r>
      <w:r>
        <w:rPr>
          <w:rFonts w:ascii="宋体" w:hAnsi="宋体" w:hint="eastAsia"/>
          <w:szCs w:val="21"/>
        </w:rPr>
        <w:t>；</w:t>
      </w:r>
    </w:p>
    <w:p w14:paraId="280665F3" w14:textId="77777777" w:rsidR="005465E4" w:rsidRDefault="00EB5FF5">
      <w:pPr>
        <w:numPr>
          <w:ilvl w:val="0"/>
          <w:numId w:val="36"/>
        </w:numPr>
        <w:spacing w:line="360" w:lineRule="auto"/>
        <w:ind w:firstLine="420" w:firstLineChars="200" w:left="0"/>
        <w:rPr>
          <w:rFonts w:ascii="宋体" w:hAnsi="宋体"/>
          <w:szCs w:val="21"/>
        </w:rPr>
      </w:pPr>
      <w:r>
        <w:rPr>
          <w:rFonts w:hint="eastAsia"/>
          <w:bCs/>
          <w:szCs w:val="21"/>
        </w:rPr>
        <w:t>制作清算报告</w:t>
      </w:r>
      <w:r>
        <w:rPr>
          <w:rFonts w:ascii="宋体" w:hAnsi="宋体" w:hint="eastAsia"/>
          <w:bCs/>
          <w:szCs w:val="21"/>
        </w:rPr>
        <w:t>；</w:t>
      </w:r>
    </w:p>
    <w:p w14:paraId="1881E349" w14:textId="77777777" w:rsidR="005465E4" w:rsidRDefault="00EB5FF5">
      <w:pPr>
        <w:numPr>
          <w:ilvl w:val="0"/>
          <w:numId w:val="36"/>
        </w:numPr>
        <w:spacing w:line="360" w:lineRule="auto"/>
        <w:ind w:firstLine="420" w:firstLineChars="200" w:left="0"/>
        <w:rPr>
          <w:rFonts w:ascii="宋体" w:hAnsi="宋体"/>
          <w:szCs w:val="21"/>
        </w:rPr>
      </w:pPr>
      <w:r>
        <w:rPr>
          <w:rFonts w:hint="eastAsia"/>
          <w:bCs/>
          <w:szCs w:val="21"/>
        </w:rPr>
        <w:t>聘请会计师事务所对清算报告进行外部审计，聘请律师事务所</w:t>
      </w:r>
      <w:r>
        <w:rPr>
          <w:bCs/>
          <w:szCs w:val="21"/>
        </w:rPr>
        <w:t>对清算报告</w:t>
      </w:r>
      <w:r>
        <w:rPr>
          <w:rFonts w:hint="eastAsia"/>
          <w:bCs/>
          <w:szCs w:val="21"/>
        </w:rPr>
        <w:t>出具法律意见书</w:t>
      </w:r>
      <w:r>
        <w:rPr>
          <w:rFonts w:ascii="宋体" w:hAnsi="宋体" w:hint="eastAsia"/>
          <w:szCs w:val="21"/>
        </w:rPr>
        <w:t>；</w:t>
      </w:r>
    </w:p>
    <w:p w14:paraId="49F93059" w14:textId="77777777" w:rsidR="005465E4" w:rsidRDefault="00EB5FF5">
      <w:pPr>
        <w:numPr>
          <w:ilvl w:val="0"/>
          <w:numId w:val="36"/>
        </w:numPr>
        <w:spacing w:line="360" w:lineRule="auto"/>
        <w:ind w:firstLine="420" w:firstLineChars="200" w:left="0"/>
        <w:rPr>
          <w:rFonts w:ascii="宋体" w:hAnsi="宋体"/>
          <w:szCs w:val="21"/>
        </w:rPr>
      </w:pPr>
      <w:r>
        <w:rPr>
          <w:bCs/>
          <w:szCs w:val="21"/>
        </w:rPr>
        <w:t>将清算报告报中国证监会备案并公告</w:t>
      </w:r>
      <w:r>
        <w:rPr>
          <w:rFonts w:hint="eastAsia"/>
          <w:bCs/>
          <w:szCs w:val="21"/>
        </w:rPr>
        <w:t>；</w:t>
      </w:r>
    </w:p>
    <w:p w14:paraId="77C0B573" w14:textId="77777777" w:rsidR="005465E4" w:rsidRDefault="00EB5FF5">
      <w:pPr>
        <w:numPr>
          <w:ilvl w:val="0"/>
          <w:numId w:val="36"/>
        </w:numPr>
        <w:spacing w:line="360" w:lineRule="auto"/>
        <w:ind w:firstLine="420" w:firstLineChars="200" w:left="0"/>
        <w:rPr>
          <w:rFonts w:ascii="宋体" w:hAnsi="宋体"/>
          <w:szCs w:val="21"/>
        </w:rPr>
      </w:pPr>
      <w:r>
        <w:rPr>
          <w:rFonts w:hint="eastAsia"/>
          <w:bCs/>
          <w:szCs w:val="21"/>
        </w:rPr>
        <w:t>对基金剩余财产进行分配。</w:t>
      </w:r>
    </w:p>
    <w:p w14:paraId="36FDE4EE" w14:textId="77777777" w:rsidR="005465E4" w:rsidRDefault="00EB5FF5">
      <w:pPr>
        <w:spacing w:line="360" w:lineRule="auto"/>
        <w:ind w:firstLine="420" w:firstLineChars="200"/>
        <w:rPr>
          <w:rFonts w:ascii="宋体" w:hAnsi="宋体"/>
          <w:szCs w:val="21"/>
        </w:rPr>
      </w:pPr>
      <w:r>
        <w:rPr>
          <w:bCs/>
          <w:szCs w:val="21"/>
        </w:rPr>
        <w:t>基金财产清算的期限为</w:t>
      </w:r>
      <w:r>
        <w:rPr>
          <w:rFonts w:hint="eastAsia"/>
          <w:bCs/>
          <w:szCs w:val="21"/>
        </w:rPr>
        <w:t>6</w:t>
      </w:r>
      <w:r>
        <w:rPr>
          <w:bCs/>
          <w:szCs w:val="21"/>
        </w:rPr>
        <w:t>个月</w:t>
      </w:r>
      <w:r>
        <w:rPr>
          <w:rFonts w:hint="eastAsia"/>
          <w:bCs/>
          <w:szCs w:val="21"/>
        </w:rPr>
        <w:t>，但因本基金所持证券的流动性受到限制而不能及时变现的，清算期限相应顺延</w:t>
      </w:r>
      <w:r>
        <w:rPr>
          <w:rFonts w:ascii="宋体" w:hAnsi="宋体" w:hint="eastAsia"/>
          <w:szCs w:val="21"/>
        </w:rPr>
        <w:t>。</w:t>
      </w:r>
    </w:p>
    <w:p w14:paraId="45444485" w14:textId="77777777" w:rsidR="005465E4" w:rsidRDefault="00EB5FF5">
      <w:pPr>
        <w:numPr>
          <w:ilvl w:val="0"/>
          <w:numId w:val="34"/>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清算费用</w:t>
      </w:r>
    </w:p>
    <w:p w14:paraId="670575C9" w14:textId="77777777" w:rsidR="005465E4" w:rsidRDefault="00EB5FF5">
      <w:pPr>
        <w:spacing w:line="360" w:lineRule="auto"/>
        <w:ind w:firstLine="420" w:firstLineChars="200"/>
        <w:rPr>
          <w:rFonts w:ascii="宋体" w:hAnsi="宋体"/>
          <w:szCs w:val="21"/>
        </w:rPr>
      </w:pPr>
      <w:r>
        <w:rPr>
          <w:rFonts w:ascii="宋体" w:hAnsi="宋体" w:hint="eastAsia"/>
          <w:szCs w:val="21"/>
        </w:rPr>
        <w:t>清算费用是指基金财产清算小组在进行基金清算过程中发生的所有合理费用，清算费用由基金财产清算小组优先从基金财产中支付。</w:t>
      </w:r>
    </w:p>
    <w:p w14:paraId="57848732" w14:textId="77777777" w:rsidR="005465E4" w:rsidRDefault="00EB5FF5">
      <w:pPr>
        <w:numPr>
          <w:ilvl w:val="0"/>
          <w:numId w:val="34"/>
        </w:numPr>
        <w:autoSpaceDE w:val="0"/>
        <w:autoSpaceDN w:val="0"/>
        <w:adjustRightInd w:val="0"/>
        <w:spacing w:line="360" w:lineRule="auto"/>
        <w:ind w:firstLine="420" w:firstLineChars="200" w:left="0"/>
        <w:jc w:val="left"/>
        <w:rPr>
          <w:rFonts w:ascii="宋体" w:hAnsi="宋体"/>
          <w:szCs w:val="21"/>
        </w:rPr>
      </w:pPr>
      <w:r>
        <w:rPr>
          <w:rFonts w:ascii="宋体" w:hAnsi="宋体"/>
          <w:szCs w:val="21"/>
        </w:rPr>
        <w:t>基金财产清算剩余资产的分配</w:t>
      </w:r>
      <w:r>
        <w:rPr>
          <w:rFonts w:ascii="宋体" w:hAnsi="宋体" w:hint="eastAsia"/>
          <w:szCs w:val="21"/>
        </w:rPr>
        <w:t>：</w:t>
      </w:r>
    </w:p>
    <w:p w14:paraId="12436794" w14:textId="77777777" w:rsidR="005465E4" w:rsidRDefault="00EB5FF5">
      <w:pPr>
        <w:autoSpaceDE w:val="0"/>
        <w:autoSpaceDN w:val="0"/>
        <w:adjustRightInd w:val="0"/>
        <w:spacing w:line="360" w:lineRule="auto"/>
        <w:ind w:firstLine="420" w:firstLineChars="200"/>
        <w:jc w:val="left"/>
        <w:rPr>
          <w:rFonts w:ascii="宋体" w:hAnsi="宋体"/>
          <w:szCs w:val="21"/>
        </w:rPr>
      </w:pPr>
      <w:r>
        <w:rPr>
          <w:rFonts w:ascii="宋体" w:hAnsi="宋体"/>
          <w:bCs/>
          <w:szCs w:val="21"/>
        </w:rPr>
        <w:t>依据基金财产清算的分配方案，将基金财产清算后的全部剩余资产扣除基金财产清算费用、交纳所欠税款并清偿基金债务后，按基金份额持有人持有的基金份额比例进行分配</w:t>
      </w:r>
      <w:r>
        <w:rPr>
          <w:rFonts w:ascii="宋体" w:hAnsi="宋体" w:hint="eastAsia"/>
          <w:bCs/>
          <w:szCs w:val="21"/>
        </w:rPr>
        <w:t>。</w:t>
      </w:r>
    </w:p>
    <w:p w14:paraId="3EE94726" w14:textId="77777777" w:rsidR="005465E4" w:rsidRDefault="00EB5FF5">
      <w:pPr>
        <w:numPr>
          <w:ilvl w:val="0"/>
          <w:numId w:val="34"/>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基金财产清算的公告</w:t>
      </w:r>
    </w:p>
    <w:p w14:paraId="165B40FE" w14:textId="77777777" w:rsidR="005465E4" w:rsidRDefault="00EB5FF5">
      <w:pPr>
        <w:spacing w:line="360" w:lineRule="auto"/>
        <w:ind w:firstLine="420" w:firstLineChars="200"/>
        <w:rPr>
          <w:rFonts w:ascii="宋体" w:hAnsi="宋体"/>
          <w:szCs w:val="21"/>
        </w:rPr>
      </w:pPr>
      <w:r>
        <w:rPr>
          <w:szCs w:val="21"/>
        </w:rPr>
        <w:t>清算过程中的有关重大</w:t>
      </w:r>
      <w:r>
        <w:rPr>
          <w:rFonts w:ascii="宋体" w:hAnsi="宋体"/>
          <w:szCs w:val="21"/>
        </w:rPr>
        <w:t>事项须及时公告；基金财产清算报告经</w:t>
      </w:r>
      <w:r>
        <w:rPr>
          <w:rFonts w:ascii="宋体" w:hAnsi="宋体" w:hint="eastAsia"/>
          <w:szCs w:val="21"/>
        </w:rPr>
        <w:t>符合《证券法》规定的</w:t>
      </w:r>
      <w:r>
        <w:rPr>
          <w:rFonts w:ascii="宋体" w:hAnsi="宋体"/>
          <w:szCs w:val="21"/>
        </w:rPr>
        <w:t>会计师事务所审计并由律师事务所出具法律意见书后报中国证监会备案并公告。基金财产清算公告于基</w:t>
      </w:r>
      <w:r>
        <w:rPr>
          <w:bCs/>
          <w:szCs w:val="21"/>
        </w:rPr>
        <w:t>金财产清算报告报中国证监</w:t>
      </w:r>
      <w:r>
        <w:rPr>
          <w:bCs/>
          <w:szCs w:val="21"/>
        </w:rPr>
        <w:t>会备案后由基金财产清算小组进行公告</w:t>
      </w:r>
      <w:r>
        <w:rPr>
          <w:rFonts w:ascii="宋体" w:hAnsi="宋体"/>
          <w:bCs/>
          <w:szCs w:val="21"/>
        </w:rPr>
        <w:t>。</w:t>
      </w:r>
    </w:p>
    <w:p w14:paraId="45D90EFD" w14:textId="77777777" w:rsidR="005465E4" w:rsidRDefault="00EB5FF5">
      <w:pPr>
        <w:numPr>
          <w:ilvl w:val="0"/>
          <w:numId w:val="34"/>
        </w:numPr>
        <w:autoSpaceDE w:val="0"/>
        <w:autoSpaceDN w:val="0"/>
        <w:adjustRightInd w:val="0"/>
        <w:spacing w:line="360" w:lineRule="auto"/>
        <w:ind w:firstLine="420" w:firstLineChars="200" w:left="0"/>
        <w:jc w:val="left"/>
        <w:rPr>
          <w:rFonts w:ascii="宋体" w:hAnsi="宋体"/>
          <w:szCs w:val="21"/>
        </w:rPr>
      </w:pPr>
      <w:r>
        <w:rPr>
          <w:rFonts w:ascii="宋体" w:hAnsi="宋体" w:hint="eastAsia"/>
          <w:szCs w:val="21"/>
        </w:rPr>
        <w:t>基金财产清算账册及文件的保存</w:t>
      </w:r>
    </w:p>
    <w:p w14:paraId="3320DB06" w14:textId="77777777" w:rsidR="005465E4" w:rsidRDefault="00EB5FF5">
      <w:pPr>
        <w:spacing w:line="360" w:lineRule="auto"/>
        <w:ind w:firstLine="420" w:firstLineChars="200"/>
        <w:rPr>
          <w:rFonts w:ascii="宋体" w:hAnsi="宋体"/>
          <w:szCs w:val="21"/>
        </w:rPr>
      </w:pPr>
      <w:r>
        <w:rPr>
          <w:rFonts w:ascii="宋体" w:hAnsi="宋体" w:hint="eastAsia"/>
          <w:szCs w:val="21"/>
        </w:rPr>
        <w:t>基金财产清算账册及有关文件由基金托管人</w:t>
      </w:r>
      <w:r>
        <w:rPr>
          <w:rFonts w:hint="eastAsia"/>
          <w:szCs w:val="21"/>
        </w:rPr>
        <w:t>保存</w:t>
      </w:r>
      <w:r>
        <w:rPr>
          <w:szCs w:val="21"/>
        </w:rPr>
        <w:t>20</w:t>
      </w:r>
      <w:r>
        <w:rPr>
          <w:rFonts w:hint="eastAsia"/>
          <w:szCs w:val="21"/>
        </w:rPr>
        <w:t>年以</w:t>
      </w:r>
      <w:r>
        <w:rPr>
          <w:rFonts w:ascii="宋体" w:hAnsi="宋体" w:hint="eastAsia"/>
          <w:szCs w:val="21"/>
        </w:rPr>
        <w:t>上。</w:t>
      </w:r>
    </w:p>
    <w:bookmarkEnd w:id="242"/>
    <w:p w14:paraId="0E7F4A3A"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243" w:name="_Toc295833036"/>
      <w:bookmarkStart w:id="244" w:name="_Toc295832976"/>
      <w:bookmarkStart w:id="245" w:name="_Toc295833707"/>
      <w:bookmarkStart w:id="246" w:name="_Toc124325901"/>
      <w:bookmarkStart w:id="247" w:name="_Toc66879695"/>
      <w:bookmarkStart w:id="248" w:name="_Toc270669868"/>
      <w:bookmarkEnd w:id="243"/>
      <w:bookmarkEnd w:id="244"/>
      <w:bookmarkEnd w:id="245"/>
      <w:r>
        <w:rPr>
          <w:rFonts w:ascii="宋体" w:hAnsi="宋体" w:hint="eastAsia"/>
          <w:sz w:val="21"/>
          <w:szCs w:val="21"/>
        </w:rPr>
        <w:t>十七、违约责任</w:t>
      </w:r>
      <w:bookmarkEnd w:id="246"/>
      <w:bookmarkEnd w:id="247"/>
      <w:bookmarkEnd w:id="248"/>
    </w:p>
    <w:p w14:paraId="444F4CC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w:t>
      </w:r>
      <w:r>
        <w:rPr>
          <w:rFonts w:ascii="宋体" w:cs="Arial" w:hAnsi="宋体"/>
          <w:szCs w:val="21"/>
        </w:rPr>
        <w:t>基金管理人、基金托管人</w:t>
      </w:r>
      <w:r>
        <w:rPr>
          <w:rFonts w:ascii="宋体" w:cs="Arial" w:hAnsi="宋体" w:hint="eastAsia"/>
          <w:szCs w:val="21"/>
        </w:rPr>
        <w:t>不</w:t>
      </w:r>
      <w:r>
        <w:rPr>
          <w:rFonts w:ascii="宋体" w:cs="Arial" w:hAnsi="宋体"/>
          <w:szCs w:val="21"/>
        </w:rPr>
        <w:t>履行</w:t>
      </w:r>
      <w:r>
        <w:rPr>
          <w:rFonts w:ascii="宋体" w:cs="Arial" w:hAnsi="宋体" w:hint="eastAsia"/>
          <w:szCs w:val="21"/>
        </w:rPr>
        <w:t>本协议或履行本协议不符合约定的，应当承担违约责任。</w:t>
      </w:r>
    </w:p>
    <w:p w14:paraId="3140CFC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w:t>
      </w:r>
      <w:r>
        <w:rPr>
          <w:rFonts w:ascii="宋体" w:cs="Arial" w:hAnsi="宋体"/>
          <w:szCs w:val="21"/>
        </w:rPr>
        <w:t>基金管理人、基金托管人在履行各自职责的过程中，违反</w:t>
      </w:r>
      <w:r>
        <w:rPr>
          <w:rFonts w:ascii="宋体" w:cs="Arial" w:hAnsi="宋体" w:hint="eastAsia"/>
          <w:szCs w:val="21"/>
        </w:rPr>
        <w:t>《基金法》</w:t>
      </w:r>
      <w:r>
        <w:rPr>
          <w:rFonts w:ascii="宋体" w:cs="Arial" w:hAnsi="宋体"/>
          <w:szCs w:val="21"/>
        </w:rPr>
        <w:t>或者</w:t>
      </w:r>
      <w:r>
        <w:rPr>
          <w:rFonts w:ascii="宋体" w:cs="Arial" w:hAnsi="宋体" w:hint="eastAsia"/>
          <w:szCs w:val="21"/>
        </w:rPr>
        <w:t>基金合同和本托管协议</w:t>
      </w:r>
      <w:r>
        <w:rPr>
          <w:rFonts w:ascii="宋体" w:cs="Arial" w:hAnsi="宋体"/>
          <w:szCs w:val="21"/>
        </w:rPr>
        <w:t>约定，给基金财产或者基金份额持有人造成损害的，应当分别对各自的行为依法承担赔偿责任；因共同行为给基金财产或者基金份额持有人造成损害的，应当承担连带赔偿责任。</w:t>
      </w:r>
      <w:r>
        <w:rPr>
          <w:rFonts w:ascii="宋体" w:hAnsi="宋体" w:hint="eastAsia"/>
          <w:bCs/>
          <w:color w:val="000000"/>
          <w:szCs w:val="21"/>
        </w:rPr>
        <w:t>对损失的赔偿，仅限于直接损失。</w:t>
      </w:r>
    </w:p>
    <w:p w14:paraId="1E70A1B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一方当事人违约，给另一方当事人造成损失的，应就直接损失进行赔偿；给基金财产造成损失的，应就直接损失进行赔偿，另一方当事人有权利及义务代表基金向违约方追偿。但是如发生下列情况，相应的当事人可以免责：</w:t>
      </w:r>
    </w:p>
    <w:p w14:paraId="61F8FD2A" w14:textId="77777777" w:rsidR="005465E4" w:rsidRDefault="00EB5FF5">
      <w:pPr>
        <w:spacing w:line="360" w:lineRule="auto"/>
        <w:ind w:firstLine="420" w:firstLineChars="200"/>
        <w:rPr>
          <w:bCs/>
          <w:szCs w:val="21"/>
        </w:rPr>
      </w:pPr>
      <w:r>
        <w:rPr>
          <w:rFonts w:hint="eastAsia"/>
          <w:bCs/>
          <w:szCs w:val="21"/>
        </w:rPr>
        <w:t>1</w:t>
      </w:r>
      <w:r>
        <w:rPr>
          <w:rFonts w:hint="eastAsia"/>
          <w:bCs/>
          <w:szCs w:val="21"/>
        </w:rPr>
        <w:t>、不可抗力；</w:t>
      </w:r>
    </w:p>
    <w:p w14:paraId="28150EA0" w14:textId="77777777" w:rsidR="005465E4" w:rsidRDefault="00EB5FF5">
      <w:pPr>
        <w:spacing w:line="360" w:lineRule="auto"/>
        <w:ind w:firstLine="420" w:firstLineChars="200"/>
        <w:rPr>
          <w:bCs/>
          <w:szCs w:val="21"/>
        </w:rPr>
      </w:pPr>
      <w:r>
        <w:rPr>
          <w:rFonts w:hint="eastAsia"/>
          <w:bCs/>
          <w:szCs w:val="21"/>
        </w:rPr>
        <w:t>2</w:t>
      </w:r>
      <w:r>
        <w:rPr>
          <w:rFonts w:hint="eastAsia"/>
          <w:bCs/>
          <w:szCs w:val="21"/>
        </w:rPr>
        <w:t>、基金管理人、基金托管人按照当时有效的法律法规或中国证监会的规定作为或不作为而造成的损失等；</w:t>
      </w:r>
    </w:p>
    <w:p w14:paraId="4ADEC5D9" w14:textId="77777777" w:rsidR="005465E4" w:rsidRDefault="00EB5FF5">
      <w:pPr>
        <w:spacing w:line="360" w:lineRule="auto"/>
        <w:ind w:firstLine="420" w:firstLineChars="200"/>
        <w:rPr>
          <w:bCs/>
          <w:szCs w:val="21"/>
        </w:rPr>
      </w:pPr>
      <w:r>
        <w:rPr>
          <w:rFonts w:hint="eastAsia"/>
          <w:bCs/>
          <w:szCs w:val="21"/>
        </w:rPr>
        <w:t>3</w:t>
      </w:r>
      <w:r>
        <w:rPr>
          <w:rFonts w:hint="eastAsia"/>
          <w:bCs/>
          <w:szCs w:val="21"/>
        </w:rPr>
        <w:t>、基金管理人由于按照基金合同规定的投资原则投资或不投资造成的直接损失或潜在损失等。</w:t>
      </w:r>
    </w:p>
    <w:p w14:paraId="5F58F8B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（四）一方当事人违约，另一方当事人在职责范围内有义务及时采取必要的措施，尽力防止损失的扩大。</w:t>
      </w:r>
      <w:r>
        <w:rPr>
          <w:szCs w:val="21"/>
        </w:rPr>
        <w:t>没有采取适当措施致</w:t>
      </w:r>
      <w:r>
        <w:rPr>
          <w:szCs w:val="21"/>
        </w:rPr>
        <w:t>使损失扩大的，不得就扩大的损失要求赔偿。</w:t>
      </w:r>
      <w:r>
        <w:rPr>
          <w:rFonts w:hint="eastAsia"/>
          <w:szCs w:val="21"/>
        </w:rPr>
        <w:t>非违</w:t>
      </w:r>
      <w:r>
        <w:rPr>
          <w:szCs w:val="21"/>
        </w:rPr>
        <w:t>约方因防止损失扩大而支出的合理费用由违约方承担。</w:t>
      </w:r>
    </w:p>
    <w:p w14:paraId="734B3B8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（五）违约行为虽已发生，但本托管协议能够继续履行的，在最大限度地保护基金份额持有人利益的前提下，基金管理人和基金托管人应当继续履行本托管协议。</w:t>
      </w:r>
    </w:p>
    <w:p w14:paraId="2836C3B1"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减轻由</w:t>
      </w:r>
      <w:r>
        <w:rPr>
          <w:rFonts w:ascii="宋体" w:cs="Arial" w:hAnsi="宋体" w:hint="eastAsia"/>
          <w:szCs w:val="21"/>
        </w:rPr>
        <w:t>此造成的影响。</w:t>
      </w:r>
    </w:p>
    <w:p w14:paraId="57FE32A5" w14:textId="77777777" w:rsidR="005465E4" w:rsidRDefault="005465E4">
      <w:pPr>
        <w:adjustRightInd w:val="0"/>
        <w:spacing w:line="360" w:lineRule="auto"/>
        <w:ind w:firstLine="420" w:firstLineChars="200"/>
        <w:rPr>
          <w:rFonts w:ascii="宋体" w:cs="Arial" w:hAnsi="宋体"/>
          <w:szCs w:val="21"/>
        </w:rPr>
      </w:pPr>
    </w:p>
    <w:p w14:paraId="4DE9B982"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249" w:name="_Toc295833709"/>
      <w:bookmarkStart w:id="250" w:name="_Toc295832978"/>
      <w:bookmarkStart w:id="251" w:name="_Toc295833038"/>
      <w:bookmarkStart w:id="252" w:name="_Toc124325902"/>
      <w:bookmarkStart w:id="253" w:name="_Toc270669869"/>
      <w:bookmarkStart w:id="254" w:name="_Toc66879696"/>
      <w:bookmarkEnd w:id="249"/>
      <w:bookmarkEnd w:id="250"/>
      <w:bookmarkEnd w:id="251"/>
      <w:r>
        <w:rPr>
          <w:rFonts w:ascii="宋体" w:hAnsi="宋体" w:hint="eastAsia"/>
          <w:sz w:val="21"/>
          <w:szCs w:val="21"/>
        </w:rPr>
        <w:t>十八、争议解决方式</w:t>
      </w:r>
      <w:bookmarkEnd w:id="252"/>
      <w:bookmarkEnd w:id="253"/>
      <w:bookmarkEnd w:id="254"/>
    </w:p>
    <w:p w14:paraId="1A7E9AB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因本托管协议产生或与之相关的争议，双方当事人应通过协商、调解解决，协商、调解不能解决的，任何一方均有权将争议提交中国</w:t>
      </w:r>
      <w:r>
        <w:rPr>
          <w:rFonts w:ascii="宋体" w:cs="Arial" w:hAnsi="宋体"/>
          <w:szCs w:val="21"/>
        </w:rPr>
        <w:t>国际经济贸易仲裁委员会</w:t>
      </w:r>
      <w:r>
        <w:rPr>
          <w:rFonts w:ascii="宋体" w:cs="Arial" w:hAnsi="宋体" w:hint="eastAsia"/>
          <w:szCs w:val="21"/>
        </w:rPr>
        <w:t>，按照该会届时有效的仲裁规则按照普通程序进行仲裁。仲裁地点为北京市。仲裁裁决是终局的，对各方当事人均有约束力，除非仲裁裁决另有规定，仲裁费由败诉方承担。</w:t>
      </w:r>
    </w:p>
    <w:p w14:paraId="0601A32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争议处理期间，本托管协议双方当事人应恪守基金管理人和基金托管人职责，各自继续忠实、勤勉、尽责地履行基金合同和本托管协议规定的义务，维护基金份额持有人的合法权益。</w:t>
      </w:r>
    </w:p>
    <w:p w14:paraId="07DC54F4"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本协议受中国</w:t>
      </w:r>
      <w:bookmarkStart w:id="255" w:name="_Hlk57299346"/>
      <w:r>
        <w:rPr>
          <w:rFonts w:ascii="宋体" w:cs="Arial" w:hAnsi="宋体" w:hint="eastAsia"/>
          <w:szCs w:val="21"/>
        </w:rPr>
        <w:t>法律（</w:t>
      </w:r>
      <w:r>
        <w:rPr>
          <w:rFonts w:ascii="宋体" w:cs="Arial" w:hAnsi="宋体" w:hint="eastAsia"/>
          <w:szCs w:val="21"/>
        </w:rPr>
        <w:t>为本协议之目的，不包括香港特别行政区、澳门特别行政区和台湾地区法律）</w:t>
      </w:r>
      <w:bookmarkEnd w:id="255"/>
      <w:r>
        <w:rPr>
          <w:rFonts w:ascii="宋体" w:cs="Arial" w:hAnsi="宋体" w:hint="eastAsia"/>
          <w:szCs w:val="21"/>
        </w:rPr>
        <w:t>管辖。</w:t>
      </w:r>
    </w:p>
    <w:p w14:paraId="2AB3C2F3" w14:textId="77777777" w:rsidR="005465E4" w:rsidRDefault="005465E4">
      <w:pPr>
        <w:adjustRightInd w:val="0"/>
        <w:spacing w:line="360" w:lineRule="auto"/>
        <w:ind w:firstLine="420" w:firstLineChars="200"/>
        <w:rPr>
          <w:rFonts w:ascii="宋体" w:cs="Arial" w:hAnsi="宋体"/>
          <w:szCs w:val="21"/>
        </w:rPr>
      </w:pPr>
    </w:p>
    <w:p w14:paraId="4D4AA17E"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256" w:name="_Toc295833040"/>
      <w:bookmarkStart w:id="257" w:name="_Toc295833711"/>
      <w:bookmarkStart w:id="258" w:name="_Toc295832980"/>
      <w:bookmarkStart w:id="259" w:name="_Toc124325903"/>
      <w:bookmarkStart w:id="260" w:name="_Toc270669870"/>
      <w:bookmarkStart w:id="261" w:name="_Toc66879697"/>
      <w:bookmarkEnd w:id="256"/>
      <w:bookmarkEnd w:id="257"/>
      <w:bookmarkEnd w:id="258"/>
      <w:r>
        <w:rPr>
          <w:rFonts w:ascii="宋体" w:hAnsi="宋体" w:hint="eastAsia"/>
          <w:sz w:val="21"/>
          <w:szCs w:val="21"/>
        </w:rPr>
        <w:t>十九、托管协议的效力</w:t>
      </w:r>
      <w:bookmarkEnd w:id="259"/>
      <w:bookmarkEnd w:id="260"/>
      <w:bookmarkEnd w:id="261"/>
    </w:p>
    <w:p w14:paraId="432247F9"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双方对托管协议的效力约定如下：</w:t>
      </w:r>
    </w:p>
    <w:p w14:paraId="152FF633"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一）基金管理人在向中国证监会申请发售基金份额时提交的托管协议草案，应经托管协议当事人双方盖章以及双方法定代表人或授权代表签字或签章，协议当事人双方根据中国证监会的意见修改托管协议草案。托管协议以经中国证监会注册的文本为正式文本。</w:t>
      </w:r>
    </w:p>
    <w:p w14:paraId="6C04B4BA"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（二）托管协议自基金管理人、基金托管人法定代表人或授权代表签字或盖章并加盖双方公章</w:t>
      </w:r>
      <w:r>
        <w:rPr>
          <w:rFonts w:ascii="宋体" w:cs="Arial" w:hAnsi="宋体" w:hint="eastAsia"/>
          <w:szCs w:val="21"/>
        </w:rPr>
        <w:t>/</w:t>
      </w:r>
      <w:r>
        <w:rPr>
          <w:rFonts w:ascii="宋体" w:cs="Arial" w:hAnsi="宋体" w:hint="eastAsia"/>
          <w:szCs w:val="21"/>
        </w:rPr>
        <w:t>合同专用章之日起成立，自基金合同生效之日起生效。托管协议的有效</w:t>
      </w:r>
      <w:r>
        <w:rPr>
          <w:rFonts w:ascii="宋体" w:cs="Arial" w:hAnsi="宋体" w:hint="eastAsia"/>
          <w:szCs w:val="21"/>
        </w:rPr>
        <w:t>期自其生效之日起至基金财产清算结果报中国证监会备案并公告之日止。</w:t>
      </w:r>
    </w:p>
    <w:p w14:paraId="0B96383D"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（三）托管协议自生效之日起对托管协议当事人具有同等的法律约束力。</w:t>
      </w:r>
    </w:p>
    <w:p w14:paraId="1CF82898"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（四）本托管协议一式三份，协议双方各持一份，上报监管部门一份，每份具有同等的法律效力。</w:t>
      </w:r>
    </w:p>
    <w:p w14:paraId="773A1E0A" w14:textId="77777777" w:rsidR="005465E4" w:rsidRDefault="005465E4">
      <w:pPr>
        <w:adjustRightInd w:val="0"/>
        <w:spacing w:line="360" w:lineRule="auto"/>
        <w:ind w:firstLine="420" w:firstLineChars="200"/>
        <w:rPr>
          <w:rFonts w:ascii="宋体" w:hAnsi="宋体"/>
          <w:szCs w:val="21"/>
        </w:rPr>
      </w:pPr>
    </w:p>
    <w:p w14:paraId="0B9F6923" w14:textId="77777777" w:rsidR="005465E4" w:rsidRDefault="00EB5FF5">
      <w:pPr>
        <w:pStyle w:val="1"/>
        <w:spacing w:after="0" w:before="0" w:line="360" w:lineRule="auto"/>
        <w:ind w:firstLine="422" w:firstLineChars="200"/>
        <w:jc w:val="center"/>
        <w:rPr>
          <w:rFonts w:ascii="宋体" w:hAnsi="宋体"/>
          <w:sz w:val="21"/>
          <w:szCs w:val="21"/>
        </w:rPr>
      </w:pPr>
      <w:r>
        <w:rPr>
          <w:rFonts w:ascii="宋体" w:cs="Arial" w:hAnsi="宋体"/>
          <w:sz w:val="21"/>
          <w:szCs w:val="21"/>
        </w:rPr>
        <w:br w:type="page"/>
      </w:r>
      <w:bookmarkStart w:id="262" w:name="_Toc295832982"/>
      <w:bookmarkStart w:id="263" w:name="_Toc295833042"/>
      <w:bookmarkStart w:id="264" w:name="_Toc295833713"/>
      <w:bookmarkStart w:id="265" w:name="_Toc270669871"/>
      <w:bookmarkStart w:id="266" w:name="_Toc66879698"/>
      <w:bookmarkStart w:id="267" w:name="_Toc124325904"/>
      <w:bookmarkEnd w:id="262"/>
      <w:bookmarkEnd w:id="263"/>
      <w:bookmarkEnd w:id="264"/>
      <w:r>
        <w:rPr>
          <w:rFonts w:ascii="宋体" w:hAnsi="宋体" w:hint="eastAsia"/>
          <w:sz w:val="21"/>
          <w:szCs w:val="21"/>
        </w:rPr>
        <w:t>二十、其他事项</w:t>
      </w:r>
      <w:bookmarkEnd w:id="265"/>
      <w:bookmarkEnd w:id="266"/>
      <w:bookmarkEnd w:id="267"/>
    </w:p>
    <w:p w14:paraId="7D910ECC" w14:textId="77777777" w:rsidR="005465E4" w:rsidRDefault="00EB5FF5">
      <w:pPr>
        <w:adjustRightInd w:val="0"/>
        <w:spacing w:line="360" w:lineRule="auto"/>
        <w:ind w:firstLine="420" w:firstLineChars="200"/>
        <w:rPr>
          <w:rFonts w:ascii="宋体" w:cs="Arial" w:hAnsi="宋体"/>
          <w:szCs w:val="21"/>
        </w:rPr>
      </w:pPr>
      <w:r>
        <w:rPr>
          <w:rFonts w:ascii="宋体" w:cs="Arial" w:hAnsi="宋体" w:hint="eastAsia"/>
          <w:szCs w:val="21"/>
        </w:rPr>
        <w:t>如发生有权司法机关依法冻结基金份额持有人的基金份额时，基金管理人应予以配合，承担司法协助义务。</w:t>
      </w:r>
    </w:p>
    <w:p w14:paraId="40F192F5" w14:textId="77777777" w:rsidR="005465E4" w:rsidRDefault="00EB5FF5">
      <w:pPr>
        <w:spacing w:line="360" w:lineRule="auto"/>
        <w:ind w:firstLine="420" w:firstLineChars="200"/>
        <w:rPr>
          <w:rFonts w:ascii="宋体" w:cs="Arial" w:hAnsi="宋体"/>
          <w:szCs w:val="21"/>
        </w:rPr>
      </w:pPr>
      <w:r>
        <w:rPr>
          <w:rFonts w:ascii="宋体" w:cs="Arial" w:hAnsi="宋体" w:hint="eastAsia"/>
          <w:szCs w:val="21"/>
        </w:rPr>
        <w:t>除本协议有明确定义外，本协议的用语定义适用基金合同的约定。本协议未尽事宜，当事人依据基金合同、有关法律法规等规定协商办理。</w:t>
      </w:r>
      <w:bookmarkStart w:id="268" w:name="_Toc295832985"/>
      <w:bookmarkStart w:id="269" w:name="_Toc295833045"/>
      <w:bookmarkStart w:id="270" w:name="_Toc295833044"/>
      <w:bookmarkStart w:id="271" w:name="_Toc295832984"/>
      <w:bookmarkStart w:id="272" w:name="_Toc295833715"/>
      <w:bookmarkStart w:id="273" w:name="_Toc295833716"/>
      <w:bookmarkStart w:id="274" w:name="_Toc295832986"/>
      <w:bookmarkStart w:id="275" w:name="_Toc295833717"/>
      <w:bookmarkStart w:id="276" w:name="_Toc295833046"/>
      <w:bookmarkEnd w:id="268"/>
      <w:bookmarkEnd w:id="269"/>
      <w:bookmarkEnd w:id="270"/>
      <w:bookmarkEnd w:id="271"/>
      <w:bookmarkEnd w:id="272"/>
      <w:bookmarkEnd w:id="273"/>
      <w:bookmarkEnd w:id="274"/>
      <w:bookmarkEnd w:id="275"/>
      <w:bookmarkEnd w:id="276"/>
    </w:p>
    <w:p w14:paraId="0E9F9BBF" w14:textId="77777777" w:rsidR="005465E4" w:rsidRDefault="005465E4">
      <w:pPr>
        <w:spacing w:line="360" w:lineRule="auto"/>
        <w:ind w:firstLine="420" w:firstLineChars="200"/>
        <w:rPr>
          <w:szCs w:val="21"/>
        </w:rPr>
        <w:sectPr w:rsidR="005465E4">
          <w:headerReference r:id="rId9" w:type="default"/>
          <w:footerReference r:id="rId10" w:type="default"/>
          <w:type w:val="continuous"/>
          <w:pgSz w:h="16838" w:w="11906"/>
          <w:pgMar w:bottom="1440" w:footer="992" w:gutter="0" w:header="851" w:left="1800" w:right="1800" w:top="1440"/>
          <w:pgNumType w:start="0"/>
          <w:cols w:space="720"/>
          <w:titlePg/>
          <w:docGrid w:linePitch="312" w:type="lines"/>
        </w:sectPr>
      </w:pPr>
    </w:p>
    <w:p w14:paraId="1C26A097" w14:textId="77777777" w:rsidR="005465E4" w:rsidRDefault="005465E4">
      <w:pPr>
        <w:spacing w:line="360" w:lineRule="auto"/>
        <w:ind w:firstLine="420" w:firstLineChars="200"/>
        <w:rPr>
          <w:szCs w:val="21"/>
        </w:rPr>
      </w:pPr>
    </w:p>
    <w:sectPr w:rsidR="005465E4">
      <w:footerReference r:id="rId11" w:type="default"/>
      <w:type w:val="continuous"/>
      <w:pgSz w:h="16838" w:w="11906"/>
      <w:pgMar w:bottom="1440" w:footer="992" w:gutter="0" w:header="851" w:left="1800" w:right="1800" w:top="1440"/>
      <w:cols w:space="720"/>
      <w:docGrid w:linePitch="312" w:type="line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C92C5" w14:textId="77777777" w:rsidR="00000000" w:rsidRDefault="00EB5FF5">
      <w:r>
        <w:separator/>
      </w:r>
    </w:p>
  </w:endnote>
  <w:endnote w:type="continuationSeparator" w:id="0">
    <w:p w14:paraId="6F1962DE" w14:textId="77777777" w:rsidR="00000000" w:rsidRDefault="00EB5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新宋体">
    <w:panose1 w:val="02010609030101010101"/>
    <w:charset w:val="86"/>
    <w:family w:val="modern"/>
    <w:pitch w:val="fixed"/>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27074056" w14:textId="749C35DA" w:rsidR="005465E4" w:rsidRDefault="00EB5FF5">
    <w:pPr>
      <w:pStyle w:val="ad"/>
      <w:jc w:val="center"/>
    </w:pPr>
    <w:r>
      <w:fldChar w:fldCharType="begin"/>
    </w:r>
    <w:r>
      <w:instrText xml:space="preserve"> PAGE   \* MERGEFORMAT </w:instrText>
    </w:r>
    <w:r>
      <w:fldChar w:fldCharType="separate"/>
    </w:r>
    <w:r w:rsidRPr="00EB5FF5">
      <w:rPr>
        <w:noProof/>
        <w:lang w:val="zh-CN"/>
      </w:rPr>
      <w:t>1</w:t>
    </w:r>
    <w:r>
      <w:rPr>
        <w:lang w:val="zh-CN"/>
      </w:rPr>
      <w:fldChar w:fldCharType="end"/>
    </w:r>
  </w:p>
</w:ftr>
</file>

<file path=word/footer2.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038E6A22" w14:textId="77777777" w:rsidR="005465E4" w:rsidRDefault="005465E4">
    <w:pPr>
      <w:pStyle w:val="ad"/>
    </w:pP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2AD0BDCB" w14:textId="77777777" w:rsidR="00000000" w:rsidRDefault="00EB5FF5">
      <w:r>
        <w:separator/>
      </w:r>
    </w:p>
  </w:footnote>
  <w:footnote w:id="0" w:type="continuationSeparator">
    <w:p w14:paraId="797D333C" w14:textId="77777777" w:rsidR="00000000" w:rsidRDefault="00EB5FF5">
      <w:r>
        <w:continuationSeparator/>
      </w:r>
    </w:p>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91C4243" w14:textId="77777777" w:rsidR="005465E4" w:rsidRDefault="00EB5FF5">
    <w:pPr>
      <w:pStyle w:val="ae"/>
      <w:tabs>
        <w:tab w:pos="4153" w:val="clear"/>
        <w:tab w:pos="8306" w:val="clear"/>
        <w:tab w:pos="4252" w:val="center"/>
        <w:tab w:pos="8504" w:val="right"/>
      </w:tabs>
      <w:jc w:val="right"/>
      <w:rPr>
        <w:rFonts w:ascii="宋体" w:hAnsi="宋体"/>
      </w:rPr>
    </w:pPr>
    <w:r>
      <w:rPr>
        <w:rFonts w:ascii="宋体" w:hAnsi="宋体" w:hint="eastAsia"/>
      </w:rPr>
      <w:t>华夏中证动漫游戏交易型开放式指数证券投资基金发起式联接基金托管协议</w:t>
    </w:r>
  </w:p>
</w:hdr>
</file>

<file path=word/numbering.xml><?xml version="1.0" encoding="utf-8"?>
<w:numbering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000000A"/>
    <w:multiLevelType w:val="singleLevel"/>
    <w:tmpl w:val="0000000A"/>
    <w:lvl w:ilvl="0">
      <w:start w:val="6"/>
      <w:numFmt w:val="chineseCounting"/>
      <w:suff w:val="nothing"/>
      <w:lvlText w:val="(%1)"/>
      <w:lvlJc w:val="left"/>
    </w:lvl>
  </w:abstractNum>
  <w:abstractNum w15:restartNumberingAfterBreak="0" w:abstractNumId="1">
    <w:nsid w:val="0000000B"/>
    <w:multiLevelType w:val="multilevel"/>
    <w:tmpl w:val="0000000B"/>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
    <w:nsid w:val="0000000E"/>
    <w:multiLevelType w:val="multilevel"/>
    <w:tmpl w:val="0000000E"/>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
    <w:nsid w:val="0000000F"/>
    <w:multiLevelType w:val="multilevel"/>
    <w:tmpl w:val="0000000F"/>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4">
    <w:nsid w:val="00000010"/>
    <w:multiLevelType w:val="multilevel"/>
    <w:tmpl w:val="00000010"/>
    <w:lvl w:ilvl="0">
      <w:start w:val="1"/>
      <w:numFmt w:val="decimal"/>
      <w:lvlText w:val="%1)"/>
      <w:lvlJc w:val="left"/>
      <w:pPr>
        <w:ind w:hanging="420" w:left="900"/>
      </w:p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5">
    <w:nsid w:val="00000012"/>
    <w:multiLevelType w:val="multilevel"/>
    <w:tmpl w:val="00000012"/>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6">
    <w:nsid w:val="00000013"/>
    <w:multiLevelType w:val="multilevel"/>
    <w:tmpl w:val="00000013"/>
    <w:lvl w:ilvl="0">
      <w:start w:val="1"/>
      <w:numFmt w:val="decimal"/>
      <w:lvlText w:val="%1)"/>
      <w:lvlJc w:val="left"/>
      <w:pPr>
        <w:ind w:hanging="420" w:left="900"/>
      </w:p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7">
    <w:nsid w:val="00000014"/>
    <w:multiLevelType w:val="multilevel"/>
    <w:tmpl w:val="00000014"/>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8">
    <w:nsid w:val="00000016"/>
    <w:multiLevelType w:val="multilevel"/>
    <w:tmpl w:val="00000016"/>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9">
    <w:nsid w:val="00000017"/>
    <w:multiLevelType w:val="multilevel"/>
    <w:tmpl w:val="00000017"/>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0">
    <w:nsid w:val="00000018"/>
    <w:multiLevelType w:val="multilevel"/>
    <w:tmpl w:val="00000018"/>
    <w:lvl w:ilvl="0">
      <w:start w:val="1"/>
      <w:numFmt w:val="chineseCountingThousand"/>
      <w:lvlText w:val="%1、"/>
      <w:lvlJc w:val="left"/>
      <w:pPr>
        <w:ind w:hanging="420" w:left="420"/>
      </w:pPr>
      <w:rPr>
        <w:sz w:val="28"/>
        <w:szCs w:val="28"/>
      </w:rPr>
    </w:lvl>
    <w:lvl w:ilvl="1">
      <w:start w:val="1"/>
      <w:numFmt w:val="decimal"/>
      <w:lvlText w:val="%2、"/>
      <w:lvlJc w:val="left"/>
      <w:pPr>
        <w:tabs>
          <w:tab w:pos="840" w:val="left"/>
        </w:tabs>
        <w:ind w:hanging="420" w:left="840"/>
      </w:pPr>
      <w:rPr>
        <w:rFonts w:hint="default"/>
        <w:b w:val="0"/>
        <w:sz w:val="21"/>
        <w:szCs w:val="21"/>
      </w:rPr>
    </w:lvl>
    <w:lvl w:ilvl="2">
      <w:start w:val="1"/>
      <w:numFmt w:val="lowerRoman"/>
      <w:lvlText w:val="%3."/>
      <w:lvlJc w:val="right"/>
      <w:pPr>
        <w:ind w:hanging="420" w:left="1260"/>
      </w:pPr>
    </w:lvl>
    <w:lvl w:ilvl="3">
      <w:start w:val="1"/>
      <w:numFmt w:val="decimal"/>
      <w:lvlText w:val="%4."/>
      <w:lvlJc w:val="left"/>
      <w:pPr>
        <w:ind w:hanging="420" w:left="1680"/>
      </w:pPr>
    </w:lvl>
    <w:lvl w:ilvl="4">
      <w:start w:val="1"/>
      <w:numFmt w:val="lowerLetter"/>
      <w:lvlText w:val="%5)"/>
      <w:lvlJc w:val="left"/>
      <w:pPr>
        <w:ind w:hanging="420" w:left="2100"/>
      </w:pPr>
    </w:lvl>
    <w:lvl w:ilvl="5">
      <w:start w:val="1"/>
      <w:numFmt w:val="lowerRoman"/>
      <w:lvlText w:val="%6."/>
      <w:lvlJc w:val="right"/>
      <w:pPr>
        <w:ind w:hanging="420" w:left="2520"/>
      </w:pPr>
    </w:lvl>
    <w:lvl w:ilvl="6">
      <w:start w:val="1"/>
      <w:numFmt w:val="decimal"/>
      <w:lvlText w:val="%7."/>
      <w:lvlJc w:val="left"/>
      <w:pPr>
        <w:ind w:hanging="420" w:left="2940"/>
      </w:pPr>
    </w:lvl>
    <w:lvl w:ilvl="7">
      <w:start w:val="1"/>
      <w:numFmt w:val="lowerLetter"/>
      <w:lvlText w:val="%8)"/>
      <w:lvlJc w:val="left"/>
      <w:pPr>
        <w:ind w:hanging="420" w:left="3360"/>
      </w:pPr>
    </w:lvl>
    <w:lvl w:ilvl="8">
      <w:start w:val="1"/>
      <w:numFmt w:val="lowerRoman"/>
      <w:lvlText w:val="%9."/>
      <w:lvlJc w:val="right"/>
      <w:pPr>
        <w:ind w:hanging="420" w:left="3780"/>
      </w:pPr>
    </w:lvl>
  </w:abstractNum>
  <w:abstractNum w15:restartNumberingAfterBreak="0" w:abstractNumId="11">
    <w:nsid w:val="00000019"/>
    <w:multiLevelType w:val="multilevel"/>
    <w:tmpl w:val="00000019"/>
    <w:lvl w:ilvl="0">
      <w:start w:val="1"/>
      <w:numFmt w:val="decimal"/>
      <w:lvlText w:val="%1)"/>
      <w:lvlJc w:val="left"/>
      <w:pPr>
        <w:ind w:hanging="420" w:left="900"/>
      </w:p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2">
    <w:nsid w:val="0000001A"/>
    <w:multiLevelType w:val="multilevel"/>
    <w:tmpl w:val="0000001A"/>
    <w:lvl w:ilvl="0">
      <w:start w:val="1"/>
      <w:numFmt w:val="decimal"/>
      <w:lvlText w:val="%1)"/>
      <w:lvlJc w:val="left"/>
      <w:pPr>
        <w:ind w:hanging="420" w:left="900"/>
      </w:p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3">
    <w:nsid w:val="0000001B"/>
    <w:multiLevelType w:val="multilevel"/>
    <w:tmpl w:val="0000001B"/>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4">
    <w:nsid w:val="0000001C"/>
    <w:multiLevelType w:val="multilevel"/>
    <w:tmpl w:val="0000001C"/>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5">
    <w:nsid w:val="0000001D"/>
    <w:multiLevelType w:val="multilevel"/>
    <w:tmpl w:val="0000001D"/>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6">
    <w:nsid w:val="0000001F"/>
    <w:multiLevelType w:val="multilevel"/>
    <w:tmpl w:val="0000001F"/>
    <w:lvl w:ilvl="0">
      <w:start w:val="1"/>
      <w:numFmt w:val="decimal"/>
      <w:lvlText w:val="%1)"/>
      <w:lvlJc w:val="left"/>
      <w:pPr>
        <w:ind w:hanging="420" w:left="845"/>
      </w:pPr>
    </w:lvl>
    <w:lvl w:ilvl="1">
      <w:start w:val="1"/>
      <w:numFmt w:val="lowerLetter"/>
      <w:lvlText w:val="%2)"/>
      <w:lvlJc w:val="left"/>
      <w:pPr>
        <w:ind w:hanging="420" w:left="1265"/>
      </w:pPr>
    </w:lvl>
    <w:lvl w:ilvl="2">
      <w:start w:val="1"/>
      <w:numFmt w:val="lowerRoman"/>
      <w:lvlText w:val="%3."/>
      <w:lvlJc w:val="right"/>
      <w:pPr>
        <w:ind w:hanging="420" w:left="1685"/>
      </w:pPr>
    </w:lvl>
    <w:lvl w:ilvl="3">
      <w:start w:val="1"/>
      <w:numFmt w:val="decimal"/>
      <w:lvlText w:val="%4."/>
      <w:lvlJc w:val="left"/>
      <w:pPr>
        <w:ind w:hanging="420" w:left="2105"/>
      </w:pPr>
    </w:lvl>
    <w:lvl w:ilvl="4">
      <w:start w:val="1"/>
      <w:numFmt w:val="lowerLetter"/>
      <w:lvlText w:val="%5)"/>
      <w:lvlJc w:val="left"/>
      <w:pPr>
        <w:ind w:hanging="420" w:left="2525"/>
      </w:pPr>
    </w:lvl>
    <w:lvl w:ilvl="5">
      <w:start w:val="1"/>
      <w:numFmt w:val="lowerRoman"/>
      <w:lvlText w:val="%6."/>
      <w:lvlJc w:val="right"/>
      <w:pPr>
        <w:ind w:hanging="420" w:left="2945"/>
      </w:pPr>
    </w:lvl>
    <w:lvl w:ilvl="6">
      <w:start w:val="1"/>
      <w:numFmt w:val="decimal"/>
      <w:lvlText w:val="%7."/>
      <w:lvlJc w:val="left"/>
      <w:pPr>
        <w:ind w:hanging="420" w:left="3365"/>
      </w:pPr>
    </w:lvl>
    <w:lvl w:ilvl="7">
      <w:start w:val="1"/>
      <w:numFmt w:val="lowerLetter"/>
      <w:lvlText w:val="%8)"/>
      <w:lvlJc w:val="left"/>
      <w:pPr>
        <w:ind w:hanging="420" w:left="3785"/>
      </w:pPr>
    </w:lvl>
    <w:lvl w:ilvl="8">
      <w:start w:val="1"/>
      <w:numFmt w:val="lowerRoman"/>
      <w:lvlText w:val="%9."/>
      <w:lvlJc w:val="right"/>
      <w:pPr>
        <w:ind w:hanging="420" w:left="4205"/>
      </w:pPr>
    </w:lvl>
  </w:abstractNum>
  <w:abstractNum w15:restartNumberingAfterBreak="0" w:abstractNumId="17">
    <w:nsid w:val="00000020"/>
    <w:multiLevelType w:val="multilevel"/>
    <w:tmpl w:val="00000020"/>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8">
    <w:nsid w:val="00000021"/>
    <w:multiLevelType w:val="multilevel"/>
    <w:tmpl w:val="00000021"/>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19">
    <w:nsid w:val="00000022"/>
    <w:multiLevelType w:val="multilevel"/>
    <w:tmpl w:val="00000022"/>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0">
    <w:nsid w:val="00000023"/>
    <w:multiLevelType w:val="multilevel"/>
    <w:tmpl w:val="00000023"/>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1">
    <w:nsid w:val="00000024"/>
    <w:multiLevelType w:val="multilevel"/>
    <w:tmpl w:val="00000024"/>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2">
    <w:nsid w:val="00000025"/>
    <w:multiLevelType w:val="multilevel"/>
    <w:tmpl w:val="00000025"/>
    <w:lvl w:ilvl="0">
      <w:start w:val="1"/>
      <w:numFmt w:val="decimal"/>
      <w:lvlText w:val="%1、"/>
      <w:lvlJc w:val="left"/>
      <w:pPr>
        <w:ind w:hanging="420" w:left="900"/>
      </w:pPr>
      <w:rPr>
        <w:rFonts w:hint="default"/>
        <w:sz w:val="21"/>
        <w:szCs w:val="21"/>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3">
    <w:nsid w:val="00000026"/>
    <w:multiLevelType w:val="multilevel"/>
    <w:tmpl w:val="00000026"/>
    <w:lvl w:ilvl="0">
      <w:start w:val="1"/>
      <w:numFmt w:val="decimal"/>
      <w:lvlText w:val="%1)"/>
      <w:lvlJc w:val="left"/>
      <w:pPr>
        <w:ind w:hanging="420" w:left="900"/>
      </w:p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4">
    <w:nsid w:val="00000027"/>
    <w:multiLevelType w:val="multilevel"/>
    <w:tmpl w:val="00000027"/>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5">
    <w:nsid w:val="00000028"/>
    <w:multiLevelType w:val="multilevel"/>
    <w:tmpl w:val="00000028"/>
    <w:lvl w:ilvl="0">
      <w:start w:val="1"/>
      <w:numFmt w:val="decimal"/>
      <w:lvlText w:val="%1)"/>
      <w:lvlJc w:val="left"/>
      <w:pPr>
        <w:ind w:hanging="420" w:left="900"/>
      </w:pPr>
      <w:rPr>
        <w:rFonts w:hint="eastAsia"/>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6">
    <w:nsid w:val="00000029"/>
    <w:multiLevelType w:val="multilevel"/>
    <w:tmpl w:val="00000029"/>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7">
    <w:nsid w:val="0000002A"/>
    <w:multiLevelType w:val="multilevel"/>
    <w:tmpl w:val="0000002A"/>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8">
    <w:nsid w:val="0000002B"/>
    <w:multiLevelType w:val="multilevel"/>
    <w:tmpl w:val="0000002B"/>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29">
    <w:nsid w:val="0000002C"/>
    <w:multiLevelType w:val="multilevel"/>
    <w:tmpl w:val="0000002C"/>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0">
    <w:nsid w:val="0000002D"/>
    <w:multiLevelType w:val="multilevel"/>
    <w:tmpl w:val="0000002D"/>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1">
    <w:nsid w:val="0000002E"/>
    <w:multiLevelType w:val="multilevel"/>
    <w:tmpl w:val="0000002E"/>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2">
    <w:nsid w:val="0000002F"/>
    <w:multiLevelType w:val="multilevel"/>
    <w:tmpl w:val="0000002F"/>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3">
    <w:nsid w:val="00000030"/>
    <w:multiLevelType w:val="multilevel"/>
    <w:tmpl w:val="00000030"/>
    <w:lvl w:ilvl="0">
      <w:start w:val="1"/>
      <w:numFmt w:val="decimal"/>
      <w:lvlText w:val="%1)"/>
      <w:lvlJc w:val="left"/>
      <w:pPr>
        <w:ind w:hanging="420" w:left="900"/>
      </w:p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4">
    <w:nsid w:val="00000032"/>
    <w:multiLevelType w:val="multilevel"/>
    <w:tmpl w:val="00000032"/>
    <w:lvl w:ilvl="0">
      <w:start w:val="1"/>
      <w:numFmt w:val="decimal"/>
      <w:lvlText w:val="%1、"/>
      <w:lvlJc w:val="left"/>
      <w:pPr>
        <w:ind w:hanging="420" w:left="900"/>
      </w:pPr>
      <w:rPr>
        <w:rFonts w:hint="default"/>
      </w:rPr>
    </w:lvl>
    <w:lvl w:ilvl="1">
      <w:start w:val="1"/>
      <w:numFmt w:val="lowerLetter"/>
      <w:lvlText w:val="%2)"/>
      <w:lvlJc w:val="left"/>
      <w:pPr>
        <w:ind w:hanging="420" w:left="1320"/>
      </w:pPr>
    </w:lvl>
    <w:lvl w:ilvl="2">
      <w:start w:val="1"/>
      <w:numFmt w:val="lowerRoman"/>
      <w:lvlText w:val="%3."/>
      <w:lvlJc w:val="right"/>
      <w:pPr>
        <w:ind w:hanging="420" w:left="1740"/>
      </w:pPr>
    </w:lvl>
    <w:lvl w:ilvl="3">
      <w:start w:val="1"/>
      <w:numFmt w:val="decimal"/>
      <w:lvlText w:val="%4."/>
      <w:lvlJc w:val="left"/>
      <w:pPr>
        <w:ind w:hanging="420" w:left="2160"/>
      </w:pPr>
    </w:lvl>
    <w:lvl w:ilvl="4">
      <w:start w:val="1"/>
      <w:numFmt w:val="lowerLetter"/>
      <w:lvlText w:val="%5)"/>
      <w:lvlJc w:val="left"/>
      <w:pPr>
        <w:ind w:hanging="420" w:left="2580"/>
      </w:pPr>
    </w:lvl>
    <w:lvl w:ilvl="5">
      <w:start w:val="1"/>
      <w:numFmt w:val="lowerRoman"/>
      <w:lvlText w:val="%6."/>
      <w:lvlJc w:val="right"/>
      <w:pPr>
        <w:ind w:hanging="420" w:left="3000"/>
      </w:pPr>
    </w:lvl>
    <w:lvl w:ilvl="6">
      <w:start w:val="1"/>
      <w:numFmt w:val="decimal"/>
      <w:lvlText w:val="%7."/>
      <w:lvlJc w:val="left"/>
      <w:pPr>
        <w:ind w:hanging="420" w:left="3420"/>
      </w:pPr>
    </w:lvl>
    <w:lvl w:ilvl="7">
      <w:start w:val="1"/>
      <w:numFmt w:val="lowerLetter"/>
      <w:lvlText w:val="%8)"/>
      <w:lvlJc w:val="left"/>
      <w:pPr>
        <w:ind w:hanging="420" w:left="3840"/>
      </w:pPr>
    </w:lvl>
    <w:lvl w:ilvl="8">
      <w:start w:val="1"/>
      <w:numFmt w:val="lowerRoman"/>
      <w:lvlText w:val="%9."/>
      <w:lvlJc w:val="right"/>
      <w:pPr>
        <w:ind w:hanging="420" w:left="4260"/>
      </w:pPr>
    </w:lvl>
  </w:abstractNum>
  <w:abstractNum w15:restartNumberingAfterBreak="0" w:abstractNumId="35">
    <w:nsid w:val="5FCF50CB"/>
    <w:multiLevelType w:val="singleLevel"/>
    <w:tmpl w:val="5FCF50CB"/>
    <w:lvl w:ilvl="0">
      <w:start w:val="4"/>
      <w:numFmt w:val="chineseCounting"/>
      <w:suff w:val="nothing"/>
      <w:lvlText w:val="（%1）"/>
      <w:lvlJc w:val="left"/>
    </w:lvl>
  </w:abstractNum>
  <w:num w:numId="1">
    <w:abstractNumId w:val="9"/>
  </w:num>
  <w:num w:numId="2">
    <w:abstractNumId w:val="6"/>
  </w:num>
  <w:num w:numId="3">
    <w:abstractNumId w:val="0"/>
  </w:num>
  <w:num w:numId="4">
    <w:abstractNumId w:val="10"/>
  </w:num>
  <w:num w:numId="5">
    <w:abstractNumId w:val="32"/>
  </w:num>
  <w:num w:numId="6">
    <w:abstractNumId w:val="15"/>
  </w:num>
  <w:num w:numId="7">
    <w:abstractNumId w:val="31"/>
  </w:num>
  <w:num w:numId="8">
    <w:abstractNumId w:val="28"/>
  </w:num>
  <w:num w:numId="9">
    <w:abstractNumId w:val="7"/>
  </w:num>
  <w:num w:numId="10">
    <w:abstractNumId w:val="2"/>
  </w:num>
  <w:num w:numId="11">
    <w:abstractNumId w:val="5"/>
  </w:num>
  <w:num w:numId="12">
    <w:abstractNumId w:val="20"/>
  </w:num>
  <w:num w:numId="13">
    <w:abstractNumId w:val="23"/>
  </w:num>
  <w:num w:numId="14">
    <w:abstractNumId w:val="8"/>
  </w:num>
  <w:num w:numId="15">
    <w:abstractNumId w:val="30"/>
  </w:num>
  <w:num w:numId="16">
    <w:abstractNumId w:val="34"/>
  </w:num>
  <w:num w:numId="17">
    <w:abstractNumId w:val="13"/>
  </w:num>
  <w:num w:numId="18">
    <w:abstractNumId w:val="22"/>
  </w:num>
  <w:num w:numId="19">
    <w:abstractNumId w:val="24"/>
  </w:num>
  <w:num w:numId="20">
    <w:abstractNumId w:val="14"/>
  </w:num>
  <w:num w:numId="21">
    <w:abstractNumId w:val="26"/>
  </w:num>
  <w:num w:numId="22">
    <w:abstractNumId w:val="1"/>
  </w:num>
  <w:num w:numId="23">
    <w:abstractNumId w:val="27"/>
  </w:num>
  <w:num w:numId="24">
    <w:abstractNumId w:val="29"/>
  </w:num>
  <w:num w:numId="25">
    <w:abstractNumId w:val="4"/>
  </w:num>
  <w:num w:numId="26">
    <w:abstractNumId w:val="12"/>
  </w:num>
  <w:num w:numId="27">
    <w:abstractNumId w:val="3"/>
  </w:num>
  <w:num w:numId="28">
    <w:abstractNumId w:val="11"/>
  </w:num>
  <w:num w:numId="29">
    <w:abstractNumId w:val="33"/>
  </w:num>
  <w:num w:numId="30">
    <w:abstractNumId w:val="18"/>
  </w:num>
  <w:num w:numId="31">
    <w:abstractNumId w:val="35"/>
  </w:num>
  <w:num w:numId="32">
    <w:abstractNumId w:val="19"/>
  </w:num>
  <w:num w:numId="33">
    <w:abstractNumId w:val="17"/>
  </w:num>
  <w:num w:numId="34">
    <w:abstractNumId w:val="21"/>
  </w:num>
  <w:num w:numId="35">
    <w:abstractNumId w:val="16"/>
  </w:num>
  <w:num w:numId="36">
    <w:abstractNumId w:val="25"/>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spidmax="2049" v:ext="edit"/>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69"/>
    <w:rsid w:val="00010897"/>
    <w:rsid w:val="00014A94"/>
    <w:rsid w:val="000224BA"/>
    <w:rsid w:val="000251AC"/>
    <w:rsid w:val="0002675D"/>
    <w:rsid w:val="000303BC"/>
    <w:rsid w:val="00030938"/>
    <w:rsid w:val="0003332A"/>
    <w:rsid w:val="00041473"/>
    <w:rsid w:val="0004531E"/>
    <w:rsid w:val="00047B6B"/>
    <w:rsid w:val="00050FE7"/>
    <w:rsid w:val="0005205F"/>
    <w:rsid w:val="000616EC"/>
    <w:rsid w:val="00072E56"/>
    <w:rsid w:val="00077A7D"/>
    <w:rsid w:val="000800AD"/>
    <w:rsid w:val="000A0FD6"/>
    <w:rsid w:val="000A22EB"/>
    <w:rsid w:val="000A2BFF"/>
    <w:rsid w:val="000A41B5"/>
    <w:rsid w:val="000A5747"/>
    <w:rsid w:val="000A5F6C"/>
    <w:rsid w:val="000A6847"/>
    <w:rsid w:val="000A7A60"/>
    <w:rsid w:val="000B046B"/>
    <w:rsid w:val="000B0CF7"/>
    <w:rsid w:val="000B3534"/>
    <w:rsid w:val="000B35DE"/>
    <w:rsid w:val="000B3B9E"/>
    <w:rsid w:val="000B5EA9"/>
    <w:rsid w:val="000B6306"/>
    <w:rsid w:val="000C1822"/>
    <w:rsid w:val="000C645B"/>
    <w:rsid w:val="000E2E83"/>
    <w:rsid w:val="000E42F1"/>
    <w:rsid w:val="000F6BED"/>
    <w:rsid w:val="00100897"/>
    <w:rsid w:val="00107AA0"/>
    <w:rsid w:val="00113139"/>
    <w:rsid w:val="00113605"/>
    <w:rsid w:val="0011623A"/>
    <w:rsid w:val="00125706"/>
    <w:rsid w:val="00130F39"/>
    <w:rsid w:val="00133925"/>
    <w:rsid w:val="0013536D"/>
    <w:rsid w:val="001353E4"/>
    <w:rsid w:val="00136542"/>
    <w:rsid w:val="00136940"/>
    <w:rsid w:val="00137236"/>
    <w:rsid w:val="00141A0E"/>
    <w:rsid w:val="001440DF"/>
    <w:rsid w:val="00146AC9"/>
    <w:rsid w:val="00150B99"/>
    <w:rsid w:val="0015368A"/>
    <w:rsid w:val="00162997"/>
    <w:rsid w:val="00162E0F"/>
    <w:rsid w:val="0016565A"/>
    <w:rsid w:val="00165669"/>
    <w:rsid w:val="0017165F"/>
    <w:rsid w:val="001726AC"/>
    <w:rsid w:val="00172A27"/>
    <w:rsid w:val="001857E6"/>
    <w:rsid w:val="0019042F"/>
    <w:rsid w:val="00193D52"/>
    <w:rsid w:val="00195D0A"/>
    <w:rsid w:val="00197797"/>
    <w:rsid w:val="001A1922"/>
    <w:rsid w:val="001A612F"/>
    <w:rsid w:val="001B15E3"/>
    <w:rsid w:val="001B5B67"/>
    <w:rsid w:val="001B79FB"/>
    <w:rsid w:val="001C0688"/>
    <w:rsid w:val="001C1666"/>
    <w:rsid w:val="001C1A41"/>
    <w:rsid w:val="001C7876"/>
    <w:rsid w:val="001D004F"/>
    <w:rsid w:val="001D233B"/>
    <w:rsid w:val="001D2378"/>
    <w:rsid w:val="001D6D69"/>
    <w:rsid w:val="001E4695"/>
    <w:rsid w:val="00215D3A"/>
    <w:rsid w:val="00217B4C"/>
    <w:rsid w:val="002239A3"/>
    <w:rsid w:val="0023134B"/>
    <w:rsid w:val="00236F29"/>
    <w:rsid w:val="00244121"/>
    <w:rsid w:val="002447BC"/>
    <w:rsid w:val="00245543"/>
    <w:rsid w:val="002470E1"/>
    <w:rsid w:val="00250BE5"/>
    <w:rsid w:val="00253282"/>
    <w:rsid w:val="0027236B"/>
    <w:rsid w:val="002728C0"/>
    <w:rsid w:val="0027338E"/>
    <w:rsid w:val="00277529"/>
    <w:rsid w:val="00285892"/>
    <w:rsid w:val="00285B34"/>
    <w:rsid w:val="002A2EB0"/>
    <w:rsid w:val="002A4A63"/>
    <w:rsid w:val="002B1BA6"/>
    <w:rsid w:val="002C0F74"/>
    <w:rsid w:val="002C375E"/>
    <w:rsid w:val="002C72C2"/>
    <w:rsid w:val="002D1F02"/>
    <w:rsid w:val="002D2099"/>
    <w:rsid w:val="002D25A3"/>
    <w:rsid w:val="002D7B36"/>
    <w:rsid w:val="002F6DE2"/>
    <w:rsid w:val="002F7CC4"/>
    <w:rsid w:val="003002A6"/>
    <w:rsid w:val="003138E7"/>
    <w:rsid w:val="00314347"/>
    <w:rsid w:val="003164C9"/>
    <w:rsid w:val="00325F93"/>
    <w:rsid w:val="003301F0"/>
    <w:rsid w:val="00331EC0"/>
    <w:rsid w:val="00343BAB"/>
    <w:rsid w:val="003576E9"/>
    <w:rsid w:val="00365F46"/>
    <w:rsid w:val="00370290"/>
    <w:rsid w:val="00370F7E"/>
    <w:rsid w:val="00371EF7"/>
    <w:rsid w:val="003808A9"/>
    <w:rsid w:val="003866E1"/>
    <w:rsid w:val="00390547"/>
    <w:rsid w:val="00394927"/>
    <w:rsid w:val="00397B19"/>
    <w:rsid w:val="003A356F"/>
    <w:rsid w:val="003A68A0"/>
    <w:rsid w:val="003A6BAA"/>
    <w:rsid w:val="003C0E9B"/>
    <w:rsid w:val="003E1B6E"/>
    <w:rsid w:val="003E1FBD"/>
    <w:rsid w:val="003E5A9E"/>
    <w:rsid w:val="003E7BD1"/>
    <w:rsid w:val="003F22A3"/>
    <w:rsid w:val="003F4604"/>
    <w:rsid w:val="00401FA2"/>
    <w:rsid w:val="00402B77"/>
    <w:rsid w:val="004033C0"/>
    <w:rsid w:val="00403958"/>
    <w:rsid w:val="00411602"/>
    <w:rsid w:val="00417925"/>
    <w:rsid w:val="00417CC3"/>
    <w:rsid w:val="00420F46"/>
    <w:rsid w:val="004239AA"/>
    <w:rsid w:val="00425E1B"/>
    <w:rsid w:val="00426F96"/>
    <w:rsid w:val="004376E8"/>
    <w:rsid w:val="00437F44"/>
    <w:rsid w:val="004407FE"/>
    <w:rsid w:val="004419F3"/>
    <w:rsid w:val="00445337"/>
    <w:rsid w:val="004477D6"/>
    <w:rsid w:val="004526B6"/>
    <w:rsid w:val="004669A6"/>
    <w:rsid w:val="00466C5B"/>
    <w:rsid w:val="0047260D"/>
    <w:rsid w:val="00473A63"/>
    <w:rsid w:val="0047765F"/>
    <w:rsid w:val="00484AE8"/>
    <w:rsid w:val="00487113"/>
    <w:rsid w:val="0048767B"/>
    <w:rsid w:val="00491731"/>
    <w:rsid w:val="004962E5"/>
    <w:rsid w:val="0049787B"/>
    <w:rsid w:val="004C3CC6"/>
    <w:rsid w:val="004C55D7"/>
    <w:rsid w:val="004D71E8"/>
    <w:rsid w:val="004D72EB"/>
    <w:rsid w:val="004E506A"/>
    <w:rsid w:val="004E597A"/>
    <w:rsid w:val="004E7BE5"/>
    <w:rsid w:val="004F3A94"/>
    <w:rsid w:val="004F596B"/>
    <w:rsid w:val="00517C1E"/>
    <w:rsid w:val="00522296"/>
    <w:rsid w:val="00523A3A"/>
    <w:rsid w:val="00525B48"/>
    <w:rsid w:val="00536EFE"/>
    <w:rsid w:val="005402A7"/>
    <w:rsid w:val="0054067F"/>
    <w:rsid w:val="00540AD7"/>
    <w:rsid w:val="00545230"/>
    <w:rsid w:val="005465E4"/>
    <w:rsid w:val="00554893"/>
    <w:rsid w:val="00554D21"/>
    <w:rsid w:val="00557781"/>
    <w:rsid w:val="005619C2"/>
    <w:rsid w:val="00563076"/>
    <w:rsid w:val="00581FE5"/>
    <w:rsid w:val="00590EDC"/>
    <w:rsid w:val="00595164"/>
    <w:rsid w:val="00596407"/>
    <w:rsid w:val="005969C7"/>
    <w:rsid w:val="00597F71"/>
    <w:rsid w:val="005A0F51"/>
    <w:rsid w:val="005A4B8A"/>
    <w:rsid w:val="005C138B"/>
    <w:rsid w:val="005D2B74"/>
    <w:rsid w:val="005D43D8"/>
    <w:rsid w:val="005E54F2"/>
    <w:rsid w:val="005E7341"/>
    <w:rsid w:val="005E7686"/>
    <w:rsid w:val="005F4C58"/>
    <w:rsid w:val="00600F28"/>
    <w:rsid w:val="006031D4"/>
    <w:rsid w:val="00605D32"/>
    <w:rsid w:val="00623505"/>
    <w:rsid w:val="006266DF"/>
    <w:rsid w:val="00626E92"/>
    <w:rsid w:val="00630EA7"/>
    <w:rsid w:val="00637AAC"/>
    <w:rsid w:val="00643065"/>
    <w:rsid w:val="00644FFA"/>
    <w:rsid w:val="006517EC"/>
    <w:rsid w:val="00657356"/>
    <w:rsid w:val="00662FE7"/>
    <w:rsid w:val="00665FE1"/>
    <w:rsid w:val="006740DF"/>
    <w:rsid w:val="0067448B"/>
    <w:rsid w:val="00675A91"/>
    <w:rsid w:val="00687215"/>
    <w:rsid w:val="006945D6"/>
    <w:rsid w:val="0069727A"/>
    <w:rsid w:val="006976A2"/>
    <w:rsid w:val="006A0C9C"/>
    <w:rsid w:val="006A3439"/>
    <w:rsid w:val="006A397F"/>
    <w:rsid w:val="006B3A65"/>
    <w:rsid w:val="006C0FBF"/>
    <w:rsid w:val="006D2822"/>
    <w:rsid w:val="006D2E12"/>
    <w:rsid w:val="006D2F91"/>
    <w:rsid w:val="006E0C11"/>
    <w:rsid w:val="006E4B0F"/>
    <w:rsid w:val="006E5BC5"/>
    <w:rsid w:val="006E5D00"/>
    <w:rsid w:val="0070384D"/>
    <w:rsid w:val="00703A8C"/>
    <w:rsid w:val="0072062F"/>
    <w:rsid w:val="0072108E"/>
    <w:rsid w:val="00727171"/>
    <w:rsid w:val="00727400"/>
    <w:rsid w:val="00735F6B"/>
    <w:rsid w:val="0074022C"/>
    <w:rsid w:val="00740C0A"/>
    <w:rsid w:val="00741436"/>
    <w:rsid w:val="007454CA"/>
    <w:rsid w:val="007456E9"/>
    <w:rsid w:val="00747B11"/>
    <w:rsid w:val="0075380B"/>
    <w:rsid w:val="007640D2"/>
    <w:rsid w:val="007723B6"/>
    <w:rsid w:val="00776ABB"/>
    <w:rsid w:val="00781604"/>
    <w:rsid w:val="007907EE"/>
    <w:rsid w:val="00795344"/>
    <w:rsid w:val="007A0884"/>
    <w:rsid w:val="007A0C3F"/>
    <w:rsid w:val="007A6562"/>
    <w:rsid w:val="007B0AE1"/>
    <w:rsid w:val="007B4A0E"/>
    <w:rsid w:val="007C0ADB"/>
    <w:rsid w:val="007C0D46"/>
    <w:rsid w:val="007C7CDF"/>
    <w:rsid w:val="007C7ECE"/>
    <w:rsid w:val="007D663F"/>
    <w:rsid w:val="007E295D"/>
    <w:rsid w:val="007F18BF"/>
    <w:rsid w:val="007F3210"/>
    <w:rsid w:val="007F357D"/>
    <w:rsid w:val="007F55B1"/>
    <w:rsid w:val="007F5E20"/>
    <w:rsid w:val="008019DB"/>
    <w:rsid w:val="00803468"/>
    <w:rsid w:val="0080756E"/>
    <w:rsid w:val="00807776"/>
    <w:rsid w:val="008131A2"/>
    <w:rsid w:val="00822D19"/>
    <w:rsid w:val="00824653"/>
    <w:rsid w:val="008275DF"/>
    <w:rsid w:val="00831B26"/>
    <w:rsid w:val="008327AE"/>
    <w:rsid w:val="00834876"/>
    <w:rsid w:val="00834FD2"/>
    <w:rsid w:val="0083558B"/>
    <w:rsid w:val="00843A1B"/>
    <w:rsid w:val="00845272"/>
    <w:rsid w:val="00847709"/>
    <w:rsid w:val="00847870"/>
    <w:rsid w:val="00853868"/>
    <w:rsid w:val="00857ABC"/>
    <w:rsid w:val="008640B8"/>
    <w:rsid w:val="008677A3"/>
    <w:rsid w:val="00867B7C"/>
    <w:rsid w:val="00873E22"/>
    <w:rsid w:val="00880B17"/>
    <w:rsid w:val="00880C62"/>
    <w:rsid w:val="00882D35"/>
    <w:rsid w:val="0088410F"/>
    <w:rsid w:val="00892B54"/>
    <w:rsid w:val="0089403B"/>
    <w:rsid w:val="008970A3"/>
    <w:rsid w:val="00897220"/>
    <w:rsid w:val="008A4B6B"/>
    <w:rsid w:val="008C2DDE"/>
    <w:rsid w:val="008C6267"/>
    <w:rsid w:val="008E07A4"/>
    <w:rsid w:val="008E4D5C"/>
    <w:rsid w:val="008E5DA9"/>
    <w:rsid w:val="008F2156"/>
    <w:rsid w:val="008F310F"/>
    <w:rsid w:val="008F68C3"/>
    <w:rsid w:val="00903050"/>
    <w:rsid w:val="00904EAF"/>
    <w:rsid w:val="00911A0E"/>
    <w:rsid w:val="009153BB"/>
    <w:rsid w:val="00923279"/>
    <w:rsid w:val="009270F5"/>
    <w:rsid w:val="00931E9C"/>
    <w:rsid w:val="00945A0B"/>
    <w:rsid w:val="00946033"/>
    <w:rsid w:val="00950EDB"/>
    <w:rsid w:val="009538C2"/>
    <w:rsid w:val="00957C4F"/>
    <w:rsid w:val="00960EF9"/>
    <w:rsid w:val="0096427C"/>
    <w:rsid w:val="00965A5F"/>
    <w:rsid w:val="00966A2A"/>
    <w:rsid w:val="00980985"/>
    <w:rsid w:val="00985B89"/>
    <w:rsid w:val="00986272"/>
    <w:rsid w:val="0098726A"/>
    <w:rsid w:val="009A2F65"/>
    <w:rsid w:val="009A4A72"/>
    <w:rsid w:val="009B5B86"/>
    <w:rsid w:val="009C606C"/>
    <w:rsid w:val="009C62D1"/>
    <w:rsid w:val="009D4666"/>
    <w:rsid w:val="009E1557"/>
    <w:rsid w:val="009F2070"/>
    <w:rsid w:val="009F3E71"/>
    <w:rsid w:val="009F4A30"/>
    <w:rsid w:val="009F5BDA"/>
    <w:rsid w:val="00A14467"/>
    <w:rsid w:val="00A1587B"/>
    <w:rsid w:val="00A201A7"/>
    <w:rsid w:val="00A248DE"/>
    <w:rsid w:val="00A33584"/>
    <w:rsid w:val="00A37694"/>
    <w:rsid w:val="00A37B86"/>
    <w:rsid w:val="00A70F11"/>
    <w:rsid w:val="00A71317"/>
    <w:rsid w:val="00A768AA"/>
    <w:rsid w:val="00A8013E"/>
    <w:rsid w:val="00A81D7D"/>
    <w:rsid w:val="00A8618C"/>
    <w:rsid w:val="00A9554A"/>
    <w:rsid w:val="00AA21DA"/>
    <w:rsid w:val="00AA4929"/>
    <w:rsid w:val="00AA4F3D"/>
    <w:rsid w:val="00AB45BE"/>
    <w:rsid w:val="00AC171D"/>
    <w:rsid w:val="00AC53E0"/>
    <w:rsid w:val="00AC5C7D"/>
    <w:rsid w:val="00AD2C8D"/>
    <w:rsid w:val="00AE048F"/>
    <w:rsid w:val="00AE2AE1"/>
    <w:rsid w:val="00AE3227"/>
    <w:rsid w:val="00AF3347"/>
    <w:rsid w:val="00AF5003"/>
    <w:rsid w:val="00B01C1C"/>
    <w:rsid w:val="00B07DA4"/>
    <w:rsid w:val="00B238F7"/>
    <w:rsid w:val="00B339FD"/>
    <w:rsid w:val="00B36D3F"/>
    <w:rsid w:val="00B37420"/>
    <w:rsid w:val="00B40E77"/>
    <w:rsid w:val="00B40F69"/>
    <w:rsid w:val="00B4337E"/>
    <w:rsid w:val="00B50685"/>
    <w:rsid w:val="00B63A9F"/>
    <w:rsid w:val="00B640FA"/>
    <w:rsid w:val="00B70CEC"/>
    <w:rsid w:val="00B80172"/>
    <w:rsid w:val="00B80DC0"/>
    <w:rsid w:val="00B8109C"/>
    <w:rsid w:val="00B8546F"/>
    <w:rsid w:val="00B92551"/>
    <w:rsid w:val="00B92CB1"/>
    <w:rsid w:val="00B94543"/>
    <w:rsid w:val="00BA41F6"/>
    <w:rsid w:val="00BB2AD0"/>
    <w:rsid w:val="00BB3965"/>
    <w:rsid w:val="00BB3D4F"/>
    <w:rsid w:val="00BB55F3"/>
    <w:rsid w:val="00BB5C50"/>
    <w:rsid w:val="00BC117E"/>
    <w:rsid w:val="00BC5649"/>
    <w:rsid w:val="00BC5BB4"/>
    <w:rsid w:val="00BD34DF"/>
    <w:rsid w:val="00BD3661"/>
    <w:rsid w:val="00BD47A1"/>
    <w:rsid w:val="00BD5AEB"/>
    <w:rsid w:val="00BE18AE"/>
    <w:rsid w:val="00BE5804"/>
    <w:rsid w:val="00BF2D95"/>
    <w:rsid w:val="00BF6CC7"/>
    <w:rsid w:val="00C07198"/>
    <w:rsid w:val="00C0781D"/>
    <w:rsid w:val="00C12977"/>
    <w:rsid w:val="00C143DF"/>
    <w:rsid w:val="00C15414"/>
    <w:rsid w:val="00C178B9"/>
    <w:rsid w:val="00C20334"/>
    <w:rsid w:val="00C25801"/>
    <w:rsid w:val="00C27D00"/>
    <w:rsid w:val="00C325E6"/>
    <w:rsid w:val="00C35682"/>
    <w:rsid w:val="00C37FBC"/>
    <w:rsid w:val="00C43A40"/>
    <w:rsid w:val="00C43BF1"/>
    <w:rsid w:val="00C452B8"/>
    <w:rsid w:val="00C462AC"/>
    <w:rsid w:val="00C5273B"/>
    <w:rsid w:val="00C5742F"/>
    <w:rsid w:val="00C64DA8"/>
    <w:rsid w:val="00C65A4B"/>
    <w:rsid w:val="00C75DC5"/>
    <w:rsid w:val="00C854BD"/>
    <w:rsid w:val="00C85F3E"/>
    <w:rsid w:val="00C86653"/>
    <w:rsid w:val="00C8784B"/>
    <w:rsid w:val="00C87D4E"/>
    <w:rsid w:val="00C93A20"/>
    <w:rsid w:val="00C94113"/>
    <w:rsid w:val="00CA008D"/>
    <w:rsid w:val="00CA371F"/>
    <w:rsid w:val="00CB0598"/>
    <w:rsid w:val="00CB0FF1"/>
    <w:rsid w:val="00CB61B8"/>
    <w:rsid w:val="00CB6327"/>
    <w:rsid w:val="00CC0E96"/>
    <w:rsid w:val="00CC63F2"/>
    <w:rsid w:val="00CC7E7F"/>
    <w:rsid w:val="00CD047A"/>
    <w:rsid w:val="00CD15A9"/>
    <w:rsid w:val="00CD2796"/>
    <w:rsid w:val="00CD6D63"/>
    <w:rsid w:val="00CD7377"/>
    <w:rsid w:val="00CE0365"/>
    <w:rsid w:val="00CF0AB6"/>
    <w:rsid w:val="00CF232A"/>
    <w:rsid w:val="00D00E8F"/>
    <w:rsid w:val="00D04E2C"/>
    <w:rsid w:val="00D12814"/>
    <w:rsid w:val="00D20292"/>
    <w:rsid w:val="00D23928"/>
    <w:rsid w:val="00D24A36"/>
    <w:rsid w:val="00D402CD"/>
    <w:rsid w:val="00D43C70"/>
    <w:rsid w:val="00D45760"/>
    <w:rsid w:val="00D45E23"/>
    <w:rsid w:val="00D51449"/>
    <w:rsid w:val="00D53E17"/>
    <w:rsid w:val="00D543BC"/>
    <w:rsid w:val="00D673C3"/>
    <w:rsid w:val="00D72735"/>
    <w:rsid w:val="00D754E5"/>
    <w:rsid w:val="00D7669C"/>
    <w:rsid w:val="00D771D1"/>
    <w:rsid w:val="00D8733C"/>
    <w:rsid w:val="00D90A67"/>
    <w:rsid w:val="00D923F5"/>
    <w:rsid w:val="00D94DE9"/>
    <w:rsid w:val="00D97279"/>
    <w:rsid w:val="00DA4A0C"/>
    <w:rsid w:val="00DA6378"/>
    <w:rsid w:val="00DA6AB3"/>
    <w:rsid w:val="00DA79B5"/>
    <w:rsid w:val="00DB2CB9"/>
    <w:rsid w:val="00DB4880"/>
    <w:rsid w:val="00DD13EE"/>
    <w:rsid w:val="00DD20CA"/>
    <w:rsid w:val="00DD4E6F"/>
    <w:rsid w:val="00DD6C92"/>
    <w:rsid w:val="00DE03B3"/>
    <w:rsid w:val="00DE59C7"/>
    <w:rsid w:val="00DE7984"/>
    <w:rsid w:val="00DF1DFC"/>
    <w:rsid w:val="00DF2182"/>
    <w:rsid w:val="00DF4102"/>
    <w:rsid w:val="00E00D19"/>
    <w:rsid w:val="00E0660B"/>
    <w:rsid w:val="00E115E4"/>
    <w:rsid w:val="00E12C8C"/>
    <w:rsid w:val="00E1719F"/>
    <w:rsid w:val="00E21132"/>
    <w:rsid w:val="00E23749"/>
    <w:rsid w:val="00E30D87"/>
    <w:rsid w:val="00E33822"/>
    <w:rsid w:val="00E33AD5"/>
    <w:rsid w:val="00E345FE"/>
    <w:rsid w:val="00E418A7"/>
    <w:rsid w:val="00E46D17"/>
    <w:rsid w:val="00E529D4"/>
    <w:rsid w:val="00E5444F"/>
    <w:rsid w:val="00E574FF"/>
    <w:rsid w:val="00E65331"/>
    <w:rsid w:val="00E65EAA"/>
    <w:rsid w:val="00E76158"/>
    <w:rsid w:val="00E76C42"/>
    <w:rsid w:val="00E771D6"/>
    <w:rsid w:val="00E77EC0"/>
    <w:rsid w:val="00E82F25"/>
    <w:rsid w:val="00E91721"/>
    <w:rsid w:val="00E9247C"/>
    <w:rsid w:val="00E93173"/>
    <w:rsid w:val="00EA3DE5"/>
    <w:rsid w:val="00EB20F0"/>
    <w:rsid w:val="00EB5FF5"/>
    <w:rsid w:val="00EC273A"/>
    <w:rsid w:val="00EC5997"/>
    <w:rsid w:val="00ED44E9"/>
    <w:rsid w:val="00ED6581"/>
    <w:rsid w:val="00EE1D55"/>
    <w:rsid w:val="00EF0A92"/>
    <w:rsid w:val="00EF3099"/>
    <w:rsid w:val="00EF71B8"/>
    <w:rsid w:val="00F037CA"/>
    <w:rsid w:val="00F10EE6"/>
    <w:rsid w:val="00F119D5"/>
    <w:rsid w:val="00F16FB1"/>
    <w:rsid w:val="00F24B74"/>
    <w:rsid w:val="00F25D3C"/>
    <w:rsid w:val="00F2646E"/>
    <w:rsid w:val="00F27DE6"/>
    <w:rsid w:val="00F30370"/>
    <w:rsid w:val="00F35EE4"/>
    <w:rsid w:val="00F47CD4"/>
    <w:rsid w:val="00F47D6A"/>
    <w:rsid w:val="00F5013D"/>
    <w:rsid w:val="00F53A74"/>
    <w:rsid w:val="00F60B4C"/>
    <w:rsid w:val="00F60D15"/>
    <w:rsid w:val="00F67FFB"/>
    <w:rsid w:val="00F71A16"/>
    <w:rsid w:val="00F77D1A"/>
    <w:rsid w:val="00F90450"/>
    <w:rsid w:val="00FA7001"/>
    <w:rsid w:val="00FB14A6"/>
    <w:rsid w:val="00FB76EE"/>
    <w:rsid w:val="00FC5AFD"/>
    <w:rsid w:val="00FC7B8E"/>
    <w:rsid w:val="00FD3CE1"/>
    <w:rsid w:val="00FE65D2"/>
    <w:rsid w:val="00FE724C"/>
    <w:rsid w:val="00FE7E23"/>
    <w:rsid w:val="00FF09DC"/>
    <w:rsid w:val="054A7844"/>
    <w:rsid w:val="075975A4"/>
    <w:rsid w:val="0FCB09F8"/>
    <w:rsid w:val="13C7051F"/>
    <w:rsid w:val="15581994"/>
    <w:rsid w:val="1EA94619"/>
    <w:rsid w:val="248D4D05"/>
    <w:rsid w:val="3148243A"/>
    <w:rsid w:val="352A58C2"/>
    <w:rsid w:val="360033D2"/>
    <w:rsid w:val="36B910C7"/>
    <w:rsid w:val="3AF73809"/>
    <w:rsid w:val="3C154EFE"/>
    <w:rsid w:val="44171D7D"/>
    <w:rsid w:val="45BE6898"/>
    <w:rsid w:val="4938364B"/>
    <w:rsid w:val="49B25743"/>
    <w:rsid w:val="4D330087"/>
    <w:rsid w:val="51181F6A"/>
    <w:rsid w:val="5395000C"/>
    <w:rsid w:val="573812F7"/>
    <w:rsid w:val="58B97A99"/>
    <w:rsid w:val="5F464182"/>
    <w:rsid w:val="60EB1E29"/>
    <w:rsid w:val="67213C91"/>
    <w:rsid w:val="68062341"/>
    <w:rsid w:val="6B9B7C51"/>
    <w:rsid w:val="73105F55"/>
    <w:rsid w:val="73785878"/>
    <w:rsid w:val="76CF5D0B"/>
    <w:rsid w:val="7B236F6F"/>
    <w:rsid w:val="7B9939AD"/>
    <w:rsid w:val="7F405314"/>
    <w:rsid w:val="7F644568"/>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29AAD08F"/>
  <w15:docId w15:val="{FCB6FAAF-FD8A-4B08-9510-8980B77E8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宋体" w:hAnsi="Times New Roman"/>
        <w:lang w:bidi="ar-SA" w:eastAsia="zh-CN" w:val="en-US"/>
      </w:rPr>
    </w:rPrDefault>
    <w:pPrDefault/>
  </w:docDefaults>
  <w:latentStyles w:count="371" w:defLockedState="0" w:defQFormat="0" w:defSemiHidden="0" w:defUIPriority="0" w:defUnhideWhenUsed="0">
    <w:lsdException w:name="Normal" w:qFormat="1"/>
    <w:lsdException w:name="heading 1" w:qFormat="1"/>
    <w:lsdException w:name="heading 2" w:qFormat="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uiPriority="39"/>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uiPriority="99"/>
    <w:lsdException w:name="footer" w:qFormat="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uiPriority="99"/>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pPr>
      <w:widowControl w:val="0"/>
      <w:jc w:val="both"/>
    </w:pPr>
    <w:rPr>
      <w:kern w:val="2"/>
      <w:sz w:val="21"/>
      <w:szCs w:val="24"/>
    </w:rPr>
  </w:style>
  <w:style w:styleId="1" w:type="paragraph">
    <w:name w:val="heading 1"/>
    <w:basedOn w:val="a"/>
    <w:next w:val="a"/>
    <w:link w:val="10"/>
    <w:qFormat/>
    <w:pPr>
      <w:keepNext/>
      <w:keepLines/>
      <w:spacing w:after="330" w:before="340" w:line="576" w:lineRule="auto"/>
      <w:outlineLvl w:val="0"/>
    </w:pPr>
    <w:rPr>
      <w:b/>
      <w:bCs/>
      <w:kern w:val="44"/>
      <w:sz w:val="44"/>
      <w:szCs w:val="44"/>
    </w:rPr>
  </w:style>
  <w:style w:styleId="2" w:type="paragraph">
    <w:name w:val="heading 2"/>
    <w:basedOn w:val="a"/>
    <w:next w:val="a"/>
    <w:link w:val="20"/>
    <w:qFormat/>
    <w:pPr>
      <w:keepNext/>
      <w:keepLines/>
      <w:spacing w:after="260" w:before="260" w:line="415" w:lineRule="auto"/>
      <w:outlineLvl w:val="1"/>
    </w:pPr>
    <w:rPr>
      <w:rFonts w:ascii="Arial" w:eastAsia="黑体" w:hAnsi="Arial"/>
      <w:b/>
      <w:bCs/>
      <w:kern w:val="0"/>
      <w:sz w:val="32"/>
      <w:szCs w:val="3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Document Map"/>
    <w:basedOn w:val="a"/>
    <w:link w:val="a4"/>
    <w:qFormat/>
    <w:rPr>
      <w:rFonts w:ascii="宋体"/>
      <w:sz w:val="18"/>
      <w:szCs w:val="18"/>
    </w:rPr>
  </w:style>
  <w:style w:styleId="a5" w:type="paragraph">
    <w:name w:val="annotation text"/>
    <w:basedOn w:val="a"/>
    <w:link w:val="a6"/>
    <w:qFormat/>
    <w:pPr>
      <w:jc w:val="left"/>
    </w:pPr>
    <w:rPr>
      <w:kern w:val="0"/>
      <w:sz w:val="20"/>
    </w:rPr>
  </w:style>
  <w:style w:styleId="a7" w:type="paragraph">
    <w:name w:val="Body Text"/>
    <w:basedOn w:val="a"/>
    <w:link w:val="a8"/>
    <w:qFormat/>
    <w:pPr>
      <w:spacing w:line="360" w:lineRule="auto"/>
    </w:pPr>
    <w:rPr>
      <w:kern w:val="0"/>
      <w:sz w:val="24"/>
    </w:rPr>
  </w:style>
  <w:style w:styleId="a9" w:type="paragraph">
    <w:name w:val="Body Text Indent"/>
    <w:basedOn w:val="a"/>
    <w:link w:val="aa"/>
    <w:pPr>
      <w:spacing w:after="120"/>
      <w:ind w:left="420" w:leftChars="200"/>
    </w:pPr>
  </w:style>
  <w:style w:styleId="21" w:type="paragraph">
    <w:name w:val="Body Text Indent 2"/>
    <w:basedOn w:val="a"/>
    <w:qFormat/>
    <w:pPr>
      <w:spacing w:after="120" w:line="480" w:lineRule="auto"/>
      <w:ind w:left="420" w:leftChars="200"/>
    </w:pPr>
  </w:style>
  <w:style w:styleId="ab" w:type="paragraph">
    <w:name w:val="Balloon Text"/>
    <w:basedOn w:val="a"/>
    <w:link w:val="ac"/>
    <w:qFormat/>
    <w:rPr>
      <w:kern w:val="0"/>
      <w:sz w:val="18"/>
      <w:szCs w:val="18"/>
    </w:rPr>
  </w:style>
  <w:style w:styleId="ad" w:type="paragraph">
    <w:name w:val="footer"/>
    <w:basedOn w:val="a"/>
    <w:qFormat/>
    <w:pPr>
      <w:tabs>
        <w:tab w:pos="4153" w:val="center"/>
        <w:tab w:pos="8306" w:val="right"/>
      </w:tabs>
      <w:snapToGrid w:val="0"/>
      <w:jc w:val="left"/>
    </w:pPr>
    <w:rPr>
      <w:sz w:val="18"/>
      <w:szCs w:val="18"/>
    </w:rPr>
  </w:style>
  <w:style w:styleId="ae" w:type="paragraph">
    <w:name w:val="header"/>
    <w:basedOn w:val="a"/>
    <w:link w:val="af"/>
    <w:uiPriority w:val="99"/>
    <w:qFormat/>
    <w:pPr>
      <w:pBdr>
        <w:bottom w:color="auto" w:space="1" w:sz="6" w:val="single"/>
      </w:pBdr>
      <w:tabs>
        <w:tab w:pos="4153" w:val="center"/>
        <w:tab w:pos="8306" w:val="right"/>
      </w:tabs>
      <w:snapToGrid w:val="0"/>
      <w:jc w:val="center"/>
    </w:pPr>
    <w:rPr>
      <w:kern w:val="0"/>
      <w:sz w:val="18"/>
      <w:szCs w:val="18"/>
    </w:rPr>
  </w:style>
  <w:style w:styleId="11" w:type="paragraph">
    <w:name w:val="toc 1"/>
    <w:basedOn w:val="a"/>
    <w:next w:val="a"/>
    <w:uiPriority w:val="39"/>
    <w:qFormat/>
  </w:style>
  <w:style w:styleId="af0" w:type="paragraph">
    <w:name w:val="annotation subject"/>
    <w:basedOn w:val="a5"/>
    <w:next w:val="a5"/>
    <w:link w:val="af1"/>
    <w:qFormat/>
    <w:rPr>
      <w:b/>
      <w:bCs/>
      <w:kern w:val="2"/>
      <w:sz w:val="21"/>
    </w:rPr>
  </w:style>
  <w:style w:styleId="af2" w:type="character">
    <w:name w:val="Hyperlink"/>
    <w:uiPriority w:val="99"/>
    <w:qFormat/>
    <w:rPr>
      <w:color w:val="0000FF"/>
      <w:u w:val="single"/>
    </w:rPr>
  </w:style>
  <w:style w:styleId="af3" w:type="character">
    <w:name w:val="annotation reference"/>
    <w:qFormat/>
    <w:rPr>
      <w:sz w:val="21"/>
      <w:szCs w:val="21"/>
    </w:rPr>
  </w:style>
  <w:style w:customStyle="1" w:styleId="CharChar" w:type="character">
    <w:name w:val="批注主题 Char Char"/>
    <w:link w:val="12"/>
    <w:rPr>
      <w:rFonts w:ascii="Times New Roman" w:cs="Times New Roman" w:eastAsia="宋体" w:hAnsi="Times New Roman"/>
      <w:b/>
      <w:bCs/>
      <w:szCs w:val="24"/>
    </w:rPr>
  </w:style>
  <w:style w:customStyle="1" w:styleId="12" w:type="paragraph">
    <w:name w:val="批注主题1"/>
    <w:basedOn w:val="a5"/>
    <w:next w:val="a5"/>
    <w:link w:val="CharChar"/>
    <w:qFormat/>
    <w:rPr>
      <w:b/>
      <w:bCs/>
    </w:rPr>
  </w:style>
  <w:style w:customStyle="1" w:styleId="Char2" w:type="character">
    <w:name w:val="批注主题 Char2"/>
    <w:link w:val="22"/>
    <w:qFormat/>
    <w:rPr>
      <w:rFonts w:ascii="Times New Roman" w:cs="Times New Roman" w:eastAsia="宋体" w:hAnsi="Times New Roman"/>
      <w:b/>
      <w:bCs/>
      <w:kern w:val="2"/>
      <w:sz w:val="21"/>
      <w:szCs w:val="24"/>
    </w:rPr>
  </w:style>
  <w:style w:customStyle="1" w:styleId="22" w:type="paragraph">
    <w:name w:val="批注主题2"/>
    <w:basedOn w:val="a5"/>
    <w:next w:val="a5"/>
    <w:link w:val="Char2"/>
    <w:qFormat/>
    <w:rPr>
      <w:b/>
      <w:bCs/>
      <w:kern w:val="2"/>
      <w:sz w:val="21"/>
    </w:rPr>
  </w:style>
  <w:style w:customStyle="1" w:styleId="13" w:type="character">
    <w:name w:val="批注引用1"/>
    <w:rPr>
      <w:sz w:val="21"/>
      <w:szCs w:val="21"/>
    </w:rPr>
  </w:style>
  <w:style w:customStyle="1" w:styleId="Char" w:type="character">
    <w:name w:val="文档结构图 Char"/>
    <w:link w:val="14"/>
    <w:qFormat/>
    <w:rPr>
      <w:rFonts w:ascii="宋体" w:cs="Times New Roman" w:eastAsia="宋体" w:hAnsi="Times New Roman"/>
      <w:sz w:val="18"/>
      <w:szCs w:val="18"/>
    </w:rPr>
  </w:style>
  <w:style w:customStyle="1" w:styleId="14" w:type="paragraph">
    <w:name w:val="文档结构图1"/>
    <w:basedOn w:val="a"/>
    <w:link w:val="Char"/>
    <w:qFormat/>
    <w:rPr>
      <w:rFonts w:ascii="宋体"/>
      <w:kern w:val="0"/>
      <w:sz w:val="18"/>
      <w:szCs w:val="18"/>
    </w:rPr>
  </w:style>
  <w:style w:customStyle="1" w:styleId="3Char" w:type="character">
    <w:name w:val="正文文本缩进 3 Char"/>
    <w:link w:val="31"/>
    <w:qFormat/>
    <w:rPr>
      <w:rFonts w:ascii="宋体" w:cs="Times New Roman" w:eastAsia="宋体" w:hAnsi="Times New Roman"/>
      <w:sz w:val="28"/>
      <w:szCs w:val="20"/>
    </w:rPr>
  </w:style>
  <w:style w:customStyle="1" w:styleId="31" w:type="paragraph">
    <w:name w:val="正文文本缩进 31"/>
    <w:basedOn w:val="a"/>
    <w:link w:val="3Char"/>
    <w:qFormat/>
    <w:pPr>
      <w:spacing w:line="400" w:lineRule="atLeast"/>
      <w:ind w:firstLine="600"/>
    </w:pPr>
    <w:rPr>
      <w:rFonts w:ascii="宋体"/>
      <w:kern w:val="0"/>
      <w:sz w:val="28"/>
      <w:szCs w:val="20"/>
    </w:rPr>
  </w:style>
  <w:style w:customStyle="1" w:styleId="Char1" w:type="character">
    <w:name w:val="正文文本缩进 Char1"/>
    <w:link w:val="BodyTextIndent1"/>
    <w:qFormat/>
    <w:rPr>
      <w:kern w:val="2"/>
      <w:sz w:val="21"/>
      <w:szCs w:val="24"/>
    </w:rPr>
  </w:style>
  <w:style w:customStyle="1" w:styleId="BodyTextIndent1" w:type="paragraph">
    <w:name w:val="Body Text Indent1"/>
    <w:basedOn w:val="a"/>
    <w:link w:val="Char1"/>
    <w:qFormat/>
    <w:pPr>
      <w:spacing w:after="120"/>
      <w:ind w:left="420" w:leftChars="200"/>
    </w:pPr>
  </w:style>
  <w:style w:customStyle="1" w:styleId="20" w:type="character">
    <w:name w:val="标题 2 字符"/>
    <w:link w:val="2"/>
    <w:qFormat/>
    <w:rPr>
      <w:rFonts w:ascii="Arial" w:cs="Times New Roman" w:eastAsia="黑体" w:hAnsi="Arial"/>
      <w:b/>
      <w:bCs/>
      <w:sz w:val="32"/>
      <w:szCs w:val="32"/>
    </w:rPr>
  </w:style>
  <w:style w:customStyle="1" w:styleId="10" w:type="character">
    <w:name w:val="标题 1 字符"/>
    <w:link w:val="1"/>
    <w:qFormat/>
    <w:rPr>
      <w:rFonts w:ascii="Times New Roman" w:cs="Times New Roman" w:eastAsia="宋体" w:hAnsi="Times New Roman"/>
      <w:b/>
      <w:bCs/>
      <w:kern w:val="44"/>
      <w:sz w:val="44"/>
      <w:szCs w:val="44"/>
    </w:rPr>
  </w:style>
  <w:style w:customStyle="1" w:styleId="Char10" w:type="character">
    <w:name w:val="批注主题 Char1"/>
    <w:rPr>
      <w:rFonts w:ascii="Times New Roman" w:cs="Times New Roman" w:eastAsia="宋体" w:hAnsi="Times New Roman"/>
      <w:b/>
      <w:bCs/>
      <w:kern w:val="2"/>
      <w:sz w:val="21"/>
      <w:szCs w:val="24"/>
    </w:rPr>
  </w:style>
  <w:style w:customStyle="1" w:styleId="15" w:type="character">
    <w:name w:val="页码1"/>
    <w:basedOn w:val="a0"/>
    <w:qFormat/>
  </w:style>
  <w:style w:customStyle="1" w:styleId="af" w:type="character">
    <w:name w:val="页眉 字符"/>
    <w:link w:val="ae"/>
    <w:uiPriority w:val="99"/>
    <w:rPr>
      <w:rFonts w:ascii="Times New Roman" w:cs="Times New Roman" w:eastAsia="宋体" w:hAnsi="Times New Roman"/>
      <w:sz w:val="18"/>
      <w:szCs w:val="18"/>
    </w:rPr>
  </w:style>
  <w:style w:customStyle="1" w:styleId="af1" w:type="character">
    <w:name w:val="批注主题 字符"/>
    <w:link w:val="af0"/>
    <w:qFormat/>
    <w:rPr>
      <w:rFonts w:ascii="Times New Roman" w:cs="Times New Roman" w:eastAsia="宋体" w:hAnsi="Times New Roman"/>
      <w:b/>
      <w:bCs/>
      <w:kern w:val="2"/>
      <w:sz w:val="21"/>
      <w:szCs w:val="24"/>
    </w:rPr>
  </w:style>
  <w:style w:customStyle="1" w:styleId="a8" w:type="character">
    <w:name w:val="正文文本 字符"/>
    <w:link w:val="a7"/>
    <w:qFormat/>
    <w:rPr>
      <w:rFonts w:ascii="Times New Roman" w:cs="Times New Roman" w:eastAsia="宋体" w:hAnsi="Times New Roman"/>
      <w:sz w:val="24"/>
      <w:szCs w:val="24"/>
    </w:rPr>
  </w:style>
  <w:style w:customStyle="1" w:styleId="a6" w:type="character">
    <w:name w:val="批注文字 字符"/>
    <w:link w:val="a5"/>
    <w:qFormat/>
    <w:rPr>
      <w:rFonts w:ascii="Times New Roman" w:cs="Times New Roman" w:eastAsia="宋体" w:hAnsi="Times New Roman"/>
      <w:szCs w:val="24"/>
    </w:rPr>
  </w:style>
  <w:style w:customStyle="1" w:styleId="Char0" w:type="character">
    <w:name w:val="正文文本缩进 Char"/>
    <w:link w:val="16"/>
    <w:qFormat/>
    <w:rPr>
      <w:rFonts w:ascii="宋体" w:cs="Times New Roman" w:eastAsia="宋体" w:hAnsi="Times New Roman"/>
      <w:kern w:val="0"/>
      <w:sz w:val="24"/>
      <w:szCs w:val="20"/>
    </w:rPr>
  </w:style>
  <w:style w:customStyle="1" w:styleId="16" w:type="paragraph">
    <w:name w:val="正文文本缩进1"/>
    <w:basedOn w:val="a"/>
    <w:link w:val="Char0"/>
    <w:qFormat/>
    <w:pPr>
      <w:autoSpaceDE w:val="0"/>
      <w:autoSpaceDN w:val="0"/>
      <w:adjustRightInd w:val="0"/>
      <w:spacing w:after="120" w:line="440" w:lineRule="atLeast"/>
      <w:ind w:firstLine="539"/>
    </w:pPr>
    <w:rPr>
      <w:rFonts w:ascii="宋体"/>
      <w:kern w:val="0"/>
      <w:sz w:val="24"/>
      <w:szCs w:val="20"/>
    </w:rPr>
  </w:style>
  <w:style w:customStyle="1" w:styleId="CharChar0" w:type="character">
    <w:name w:val="页脚 Char Char"/>
    <w:qFormat/>
    <w:rPr>
      <w:rFonts w:ascii="Times New Roman" w:cs="Times New Roman" w:eastAsia="宋体" w:hAnsi="Times New Roman"/>
      <w:sz w:val="18"/>
      <w:szCs w:val="18"/>
    </w:rPr>
  </w:style>
  <w:style w:customStyle="1" w:styleId="23" w:type="character">
    <w:name w:val="批注引用2"/>
    <w:qFormat/>
    <w:rPr>
      <w:sz w:val="21"/>
      <w:szCs w:val="21"/>
    </w:rPr>
  </w:style>
  <w:style w:customStyle="1" w:styleId="aa" w:type="character">
    <w:name w:val="正文文本缩进 字符"/>
    <w:link w:val="a9"/>
    <w:qFormat/>
    <w:rPr>
      <w:kern w:val="2"/>
      <w:sz w:val="21"/>
      <w:szCs w:val="24"/>
    </w:rPr>
  </w:style>
  <w:style w:customStyle="1" w:styleId="ac" w:type="character">
    <w:name w:val="批注框文本 字符"/>
    <w:link w:val="ab"/>
    <w:qFormat/>
    <w:rPr>
      <w:rFonts w:ascii="Times New Roman" w:cs="Times New Roman" w:eastAsia="宋体" w:hAnsi="Times New Roman"/>
      <w:sz w:val="18"/>
      <w:szCs w:val="18"/>
    </w:rPr>
  </w:style>
  <w:style w:customStyle="1" w:styleId="read" w:type="character">
    <w:name w:val="read"/>
    <w:basedOn w:val="a0"/>
    <w:qFormat/>
  </w:style>
  <w:style w:customStyle="1" w:styleId="TOC21" w:type="paragraph">
    <w:name w:val="TOC 21"/>
    <w:basedOn w:val="a"/>
    <w:next w:val="a"/>
    <w:qFormat/>
    <w:pPr>
      <w:tabs>
        <w:tab w:pos="1050" w:val="left"/>
        <w:tab w:leader="dot" w:pos="8494" w:val="right"/>
      </w:tabs>
      <w:spacing w:line="360" w:lineRule="auto"/>
      <w:ind w:left="420" w:leftChars="200"/>
    </w:pPr>
  </w:style>
  <w:style w:customStyle="1" w:styleId="TOC1" w:type="paragraph">
    <w:name w:val="TOC 标题1"/>
    <w:basedOn w:val="1"/>
    <w:next w:val="a"/>
    <w:qFormat/>
    <w:pPr>
      <w:widowControl/>
      <w:spacing w:after="0" w:before="480" w:line="276" w:lineRule="auto"/>
      <w:jc w:val="left"/>
      <w:outlineLvl w:val="9"/>
    </w:pPr>
    <w:rPr>
      <w:rFonts w:ascii="Cambria" w:hAnsi="Cambria"/>
      <w:color w:val="365F91"/>
      <w:kern w:val="0"/>
      <w:sz w:val="28"/>
      <w:szCs w:val="28"/>
    </w:rPr>
  </w:style>
  <w:style w:customStyle="1" w:styleId="TOC11" w:type="paragraph">
    <w:name w:val="TOC 11"/>
    <w:basedOn w:val="a"/>
    <w:next w:val="a"/>
    <w:qFormat/>
    <w:pPr>
      <w:tabs>
        <w:tab w:pos="840" w:val="left"/>
        <w:tab w:leader="dot" w:pos="8296" w:val="right"/>
      </w:tabs>
      <w:spacing w:line="360" w:lineRule="auto"/>
    </w:pPr>
  </w:style>
  <w:style w:customStyle="1" w:styleId="17" w:type="paragraph">
    <w:name w:val="列出段落1"/>
    <w:basedOn w:val="a"/>
    <w:qFormat/>
    <w:pPr>
      <w:ind w:firstLine="420" w:firstLineChars="200"/>
    </w:pPr>
  </w:style>
  <w:style w:customStyle="1" w:styleId="18" w:type="paragraph">
    <w:name w:val="正文缩进1"/>
    <w:basedOn w:val="a"/>
    <w:qFormat/>
    <w:pPr>
      <w:ind w:firstLine="420"/>
    </w:pPr>
    <w:rPr>
      <w:szCs w:val="20"/>
    </w:rPr>
  </w:style>
  <w:style w:customStyle="1" w:styleId="CharCharChar" w:type="paragraph">
    <w:name w:val="Char Char Char"/>
    <w:basedOn w:val="a"/>
    <w:qFormat/>
  </w:style>
  <w:style w:customStyle="1" w:styleId="19" w:type="paragraph">
    <w:name w:val="修订1"/>
    <w:qFormat/>
    <w:rPr>
      <w:szCs w:val="24"/>
    </w:rPr>
  </w:style>
  <w:style w:customStyle="1" w:styleId="24" w:type="paragraph">
    <w:name w:val="修订2"/>
    <w:qFormat/>
    <w:rPr>
      <w:kern w:val="2"/>
      <w:sz w:val="21"/>
      <w:szCs w:val="24"/>
    </w:rPr>
  </w:style>
  <w:style w:customStyle="1" w:styleId="a4" w:type="character">
    <w:name w:val="文档结构图 字符"/>
    <w:basedOn w:val="a0"/>
    <w:link w:val="a3"/>
    <w:qFormat/>
    <w:rPr>
      <w:rFonts w:ascii="宋体"/>
      <w:kern w:val="2"/>
      <w:sz w:val="18"/>
      <w:szCs w:val="18"/>
    </w:rPr>
  </w:style>
  <w:style w:customStyle="1" w:styleId="25" w:type="paragraph">
    <w:name w:val="列出段落2"/>
    <w:basedOn w:val="a"/>
    <w:uiPriority w:val="99"/>
    <w:qFormat/>
    <w:pPr>
      <w:ind w:firstLine="420" w:firstLineChars="200"/>
    </w:pPr>
  </w:style>
  <w:style w:customStyle="1" w:styleId="1a" w:type="paragraph">
    <w:name w:val="列表段落1"/>
    <w:basedOn w:val="a"/>
    <w:uiPriority w:val="99"/>
    <w:qFormat/>
    <w:pPr>
      <w:ind w:firstLine="420" w:firstLineChars="200"/>
    </w:pPr>
  </w:style>
  <w:style w:customStyle="1" w:styleId="3" w:type="paragraph">
    <w:name w:val="修订3"/>
    <w:hidden/>
    <w:uiPriority w:val="99"/>
    <w:semiHidden/>
    <w:qFormat/>
    <w:rPr>
      <w:kern w:val="2"/>
      <w:sz w:val="21"/>
      <w:szCs w:val="24"/>
    </w:rPr>
  </w:style>
  <w:style w:styleId="af4" w:type="paragraph">
    <w:name w:val="Revision"/>
    <w:hidden/>
    <w:uiPriority w:val="99"/>
    <w:semiHidden/>
    <w:rsid w:val="0039054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oter2.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header1.xml" Type="http://schemas.openxmlformats.org/officeDocument/2006/relationships/head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no"?>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E6DD58-EAE4-4513-9A35-DD0601134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5268</Words>
  <Characters>30034</Characters>
  <Application>Microsoft Office Word</Application>
  <DocSecurity>0</DocSecurity>
  <Lines>250</Lines>
  <Paragraphs>70</Paragraphs>
  <ScaleCrop>false</ScaleCrop>
  <Company/>
  <LinksUpToDate>false</LinksUpToDate>
  <CharactersWithSpaces>35232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2025-03-25T08:21:00Z</dcterms:created>
  <dcterms:modified xsi:type="dcterms:W3CDTF">2025-03-25T08:21:00Z</dcterms:modified>
  <cp:revision>1</cp:revision>
</cp:coreProperties>
</file>